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44" w:rsidRPr="00727272" w:rsidRDefault="00D131C8" w:rsidP="00727272">
      <w:pPr>
        <w:pStyle w:val="Ttulo"/>
        <w:rPr>
          <w:rFonts w:ascii="Arial" w:hAnsi="Arial" w:cs="Arial"/>
          <w:sz w:val="20"/>
          <w:szCs w:val="20"/>
        </w:rPr>
      </w:pPr>
      <w:bookmarkStart w:id="0" w:name="_Toc496197314"/>
      <w:bookmarkStart w:id="1" w:name="_Toc504978540"/>
      <w:r w:rsidRPr="00727272">
        <w:rPr>
          <w:rFonts w:ascii="Arial" w:hAnsi="Arial" w:cs="Arial"/>
          <w:b/>
          <w:sz w:val="20"/>
          <w:szCs w:val="20"/>
        </w:rPr>
        <w:t xml:space="preserve">Tabela </w:t>
      </w:r>
      <w:r w:rsidR="00334AB4" w:rsidRPr="00727272">
        <w:rPr>
          <w:rFonts w:ascii="Arial" w:hAnsi="Arial" w:cs="Arial"/>
          <w:b/>
          <w:sz w:val="20"/>
          <w:szCs w:val="20"/>
        </w:rPr>
        <w:t>2</w:t>
      </w:r>
      <w:r w:rsidR="00F94644" w:rsidRPr="00727272">
        <w:rPr>
          <w:rFonts w:ascii="Arial" w:hAnsi="Arial" w:cs="Arial"/>
          <w:sz w:val="20"/>
          <w:szCs w:val="20"/>
        </w:rPr>
        <w:t xml:space="preserve"> - Variáveis relacionadas às tecnologias solicitadas nos processos com bloqueio de verbas públicas, nos meses de dezembro de 2015 e dezembro de 2016.</w:t>
      </w:r>
      <w:bookmarkEnd w:id="0"/>
      <w:bookmarkEnd w:id="1"/>
    </w:p>
    <w:tbl>
      <w:tblPr>
        <w:tblpPr w:leftFromText="141" w:rightFromText="141" w:vertAnchor="page" w:horzAnchor="margin" w:tblpXSpec="center" w:tblpY="2278"/>
        <w:tblW w:w="68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"/>
        <w:gridCol w:w="3171"/>
        <w:gridCol w:w="1785"/>
        <w:gridCol w:w="281"/>
        <w:gridCol w:w="1558"/>
      </w:tblGrid>
      <w:tr w:rsidR="00C3457C" w:rsidRPr="00727272" w:rsidTr="00C3457C">
        <w:trPr>
          <w:tblHeader/>
        </w:trPr>
        <w:tc>
          <w:tcPr>
            <w:tcW w:w="31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Variável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Mês/Ano</w:t>
            </w:r>
          </w:p>
        </w:tc>
      </w:tr>
      <w:tr w:rsidR="00C3457C" w:rsidRPr="00727272" w:rsidTr="00C3457C">
        <w:trPr>
          <w:tblHeader/>
        </w:trPr>
        <w:tc>
          <w:tcPr>
            <w:tcW w:w="3177" w:type="dxa"/>
            <w:gridSpan w:val="2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Dezembro 2015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Dezembro 2016</w:t>
            </w:r>
          </w:p>
        </w:tc>
      </w:tr>
      <w:tr w:rsidR="00C3457C" w:rsidRPr="00727272" w:rsidTr="00C3457C">
        <w:trPr>
          <w:tblHeader/>
        </w:trPr>
        <w:tc>
          <w:tcPr>
            <w:tcW w:w="3177" w:type="dxa"/>
            <w:gridSpan w:val="2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% (n=47)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% (n=253)</w:t>
            </w:r>
          </w:p>
        </w:tc>
      </w:tr>
      <w:tr w:rsidR="00C3457C" w:rsidRPr="00727272" w:rsidTr="00C3457C">
        <w:tc>
          <w:tcPr>
            <w:tcW w:w="31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Origem receituário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SUS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36,17% (17)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59,29% (150)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Não-SUS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63,83% (30)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40,71% (103)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Tipo de tecnologia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Insumo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8,51% (4)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2,37% (6)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Medicamento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80,85% (38)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93,68% (237)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Nutrição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10,64% (5)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3,95% (10)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Prescrição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Por DCB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29,79% (14)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24,90% (63)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Por nome comercial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63,83% (30)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73,52% (186)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6,38% (3)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1,58% (4)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Lista oficial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70,21% (33)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90,12% (228)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Sim, RENAME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8,51% (4)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7,51% (19)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21,28% (10)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2,37% (6)</w:t>
            </w: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c>
          <w:tcPr>
            <w:tcW w:w="3177" w:type="dxa"/>
            <w:gridSpan w:val="2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Registro na ANVISA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0,79% (2)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100% (47)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99,21% (251)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Indicação judicializada é aprovada em Bula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2,13% (1)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1,19% (3)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 xml:space="preserve"> 80,85% (38)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91,70% (232)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 se aplica**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 xml:space="preserve"> 17,02% (8)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7,11% (18)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Juiz permite troca por</w:t>
            </w:r>
            <w:r w:rsidRPr="007272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272">
              <w:rPr>
                <w:rFonts w:ascii="Arial" w:hAnsi="Arial" w:cs="Arial"/>
                <w:b/>
                <w:sz w:val="18"/>
                <w:szCs w:val="18"/>
              </w:rPr>
              <w:t>genérico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6,38% (3)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21,34% (54)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0,79% (2)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 mencionado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93,62% (44)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77,87% (197)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272">
              <w:rPr>
                <w:rFonts w:ascii="Arial" w:hAnsi="Arial" w:cs="Arial"/>
                <w:b/>
                <w:sz w:val="18"/>
                <w:szCs w:val="18"/>
              </w:rPr>
              <w:t>Contracautela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785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65,95% (31)</w:t>
            </w:r>
          </w:p>
        </w:tc>
        <w:tc>
          <w:tcPr>
            <w:tcW w:w="281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81,42% (206)</w:t>
            </w:r>
          </w:p>
        </w:tc>
      </w:tr>
      <w:tr w:rsidR="00C3457C" w:rsidRPr="00727272" w:rsidTr="00C3457C">
        <w:trPr>
          <w:gridBefore w:val="1"/>
          <w:wBefore w:w="6" w:type="dxa"/>
        </w:trPr>
        <w:tc>
          <w:tcPr>
            <w:tcW w:w="31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34,05% (16)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3457C" w:rsidRPr="00727272" w:rsidRDefault="00C3457C" w:rsidP="00C34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272">
              <w:rPr>
                <w:rFonts w:ascii="Arial" w:hAnsi="Arial" w:cs="Arial"/>
                <w:sz w:val="18"/>
                <w:szCs w:val="18"/>
              </w:rPr>
              <w:t>18,58% (47)</w:t>
            </w:r>
          </w:p>
        </w:tc>
      </w:tr>
    </w:tbl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  <w:bookmarkStart w:id="2" w:name="_GoBack"/>
      <w:bookmarkEnd w:id="2"/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F94644" w:rsidRPr="00727272" w:rsidRDefault="00F94644" w:rsidP="00F94644">
      <w:pPr>
        <w:rPr>
          <w:rFonts w:ascii="Arial" w:hAnsi="Arial" w:cs="Arial"/>
        </w:rPr>
      </w:pPr>
    </w:p>
    <w:p w:rsidR="001E345A" w:rsidRPr="00727272" w:rsidRDefault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1E345A" w:rsidP="001E345A">
      <w:pPr>
        <w:rPr>
          <w:rFonts w:ascii="Arial" w:hAnsi="Arial" w:cs="Arial"/>
        </w:rPr>
      </w:pPr>
    </w:p>
    <w:p w:rsidR="001E345A" w:rsidRPr="00727272" w:rsidRDefault="00334AB4" w:rsidP="00334AB4">
      <w:pPr>
        <w:rPr>
          <w:rFonts w:ascii="Arial" w:hAnsi="Arial" w:cs="Arial"/>
          <w:sz w:val="18"/>
          <w:szCs w:val="18"/>
        </w:rPr>
      </w:pPr>
      <w:r w:rsidRPr="00727272">
        <w:rPr>
          <w:rFonts w:ascii="Arial" w:hAnsi="Arial" w:cs="Arial"/>
          <w:sz w:val="18"/>
          <w:szCs w:val="18"/>
        </w:rPr>
        <w:t xml:space="preserve">                </w:t>
      </w:r>
      <w:r w:rsidR="001E345A" w:rsidRPr="00727272">
        <w:rPr>
          <w:rFonts w:ascii="Arial" w:hAnsi="Arial" w:cs="Arial"/>
          <w:sz w:val="18"/>
          <w:szCs w:val="18"/>
        </w:rPr>
        <w:t>Fonte: Elaboração própria</w:t>
      </w:r>
    </w:p>
    <w:p w:rsidR="00334AB4" w:rsidRPr="00727272" w:rsidRDefault="00334AB4" w:rsidP="00334AB4">
      <w:pPr>
        <w:ind w:left="709"/>
        <w:jc w:val="both"/>
        <w:rPr>
          <w:rFonts w:ascii="Arial" w:hAnsi="Arial" w:cs="Arial"/>
          <w:sz w:val="18"/>
          <w:szCs w:val="18"/>
        </w:rPr>
      </w:pPr>
      <w:r w:rsidRPr="00727272">
        <w:rPr>
          <w:rFonts w:ascii="Arial" w:hAnsi="Arial" w:cs="Arial"/>
          <w:sz w:val="18"/>
          <w:szCs w:val="18"/>
        </w:rPr>
        <w:t>Legenda: ANVISA: Agência Nacional de Vigilância Sanitária; DCB: Denominação Comum Brasileira; RENAME: Relação Nacional de Medicamentos Essenciais; SUS: Sistema Único de Saúde</w:t>
      </w:r>
    </w:p>
    <w:p w:rsidR="00446A36" w:rsidRPr="00727272" w:rsidRDefault="00446A36" w:rsidP="001E345A">
      <w:pPr>
        <w:tabs>
          <w:tab w:val="left" w:pos="1206"/>
        </w:tabs>
        <w:rPr>
          <w:rFonts w:ascii="Arial" w:hAnsi="Arial" w:cs="Arial"/>
        </w:rPr>
      </w:pPr>
    </w:p>
    <w:sectPr w:rsidR="00446A36" w:rsidRPr="00727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44"/>
    <w:rsid w:val="001E345A"/>
    <w:rsid w:val="00334AB4"/>
    <w:rsid w:val="00446A36"/>
    <w:rsid w:val="00727272"/>
    <w:rsid w:val="00C3457C"/>
    <w:rsid w:val="00D131C8"/>
    <w:rsid w:val="00F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A6598-5FF5-4E7D-8205-E06D4A33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644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46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F94644"/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Hoffmann Vilvert</dc:creator>
  <cp:keywords/>
  <dc:description/>
  <cp:lastModifiedBy>Sabrina Hoffmann Vilvert</cp:lastModifiedBy>
  <cp:revision>6</cp:revision>
  <dcterms:created xsi:type="dcterms:W3CDTF">2018-02-27T12:22:00Z</dcterms:created>
  <dcterms:modified xsi:type="dcterms:W3CDTF">2019-07-22T15:14:00Z</dcterms:modified>
</cp:coreProperties>
</file>