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E9" w:rsidRDefault="003677E9" w:rsidP="003677E9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Gráfico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Número de intoxicações por uso de agrotóxicos agrícolas, de acordo com faixa etária, no estado de Goiás entre os anos 2011-2012.</w:t>
      </w:r>
    </w:p>
    <w:p w:rsidR="003677E9" w:rsidRDefault="003677E9" w:rsidP="003677E9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804C83C" wp14:editId="2A8265A3">
            <wp:extent cx="5007935" cy="2466754"/>
            <wp:effectExtent l="0" t="0" r="21590" b="1016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677E9" w:rsidRPr="00CC4DA1" w:rsidRDefault="003677E9" w:rsidP="003677E9">
      <w:pPr>
        <w:pStyle w:val="Legenda"/>
        <w:spacing w:after="240"/>
        <w:ind w:left="993" w:right="957"/>
        <w:contextualSpacing/>
        <w:rPr>
          <w:rFonts w:ascii="Arial" w:hAnsi="Arial" w:cs="Arial"/>
          <w:sz w:val="24"/>
          <w:szCs w:val="24"/>
        </w:rPr>
      </w:pPr>
      <w:r w:rsidRPr="00C86FD5">
        <w:rPr>
          <w:rFonts w:ascii="Arial" w:hAnsi="Arial" w:cs="Arial"/>
          <w:b w:val="0"/>
          <w:color w:val="auto"/>
        </w:rPr>
        <w:t xml:space="preserve">Fonte: Ministério da Saúde/FIOCRUZ/Sistema Nacional de Informações </w:t>
      </w:r>
      <w:r>
        <w:rPr>
          <w:rFonts w:ascii="Arial" w:hAnsi="Arial" w:cs="Arial"/>
          <w:b w:val="0"/>
          <w:color w:val="auto"/>
        </w:rPr>
        <w:t xml:space="preserve">Tóxico-Farmacológicas, adaptado </w:t>
      </w:r>
      <w:r w:rsidRPr="00C86FD5">
        <w:rPr>
          <w:rFonts w:ascii="Arial" w:hAnsi="Arial" w:cs="Arial"/>
          <w:b w:val="0"/>
          <w:color w:val="auto"/>
        </w:rPr>
        <w:t>pela autora.</w:t>
      </w:r>
      <w:r w:rsidRPr="006C55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716F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C5150" w:rsidRDefault="003677E9">
      <w:bookmarkStart w:id="0" w:name="_GoBack"/>
      <w:bookmarkEnd w:id="0"/>
    </w:p>
    <w:sectPr w:rsidR="008C5150" w:rsidSect="003677E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E9"/>
    <w:rsid w:val="002F469D"/>
    <w:rsid w:val="00312889"/>
    <w:rsid w:val="003677E9"/>
    <w:rsid w:val="00582545"/>
    <w:rsid w:val="00B2105B"/>
    <w:rsid w:val="00C506F6"/>
    <w:rsid w:val="00D5263C"/>
    <w:rsid w:val="00D771B6"/>
    <w:rsid w:val="00DA45EC"/>
    <w:rsid w:val="00E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3677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3677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briela\Google%20Drive\Especializa&#231;&#227;o%20Direito%20Sanit&#225;rio\Mat&#233;rias\Metodologia\Corre&#231;&#227;o%20artigo\SINITOX\SINITOX%20intoxica&#231;&#245;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Ano de 2011</c:v>
          </c:tx>
          <c:spPr>
            <a:solidFill>
              <a:schemeClr val="accent2"/>
            </a:solidFill>
          </c:spPr>
          <c:invertIfNegative val="0"/>
          <c:cat>
            <c:strRef>
              <c:f>Plan3!$B$3:$N$3</c:f>
              <c:strCache>
                <c:ptCount val="13"/>
                <c:pt idx="0">
                  <c:v>&lt; 1 ano</c:v>
                </c:pt>
                <c:pt idx="1">
                  <c:v>1 a 4 anos</c:v>
                </c:pt>
                <c:pt idx="2">
                  <c:v>5 a 9 anos</c:v>
                </c:pt>
                <c:pt idx="3">
                  <c:v>10 a 14 anos</c:v>
                </c:pt>
                <c:pt idx="4">
                  <c:v>15 a 19 anos</c:v>
                </c:pt>
                <c:pt idx="5">
                  <c:v>20 a 29 anos</c:v>
                </c:pt>
                <c:pt idx="6">
                  <c:v>30 a 39 anos</c:v>
                </c:pt>
                <c:pt idx="7">
                  <c:v>40 a 49 anos</c:v>
                </c:pt>
                <c:pt idx="8">
                  <c:v>50 a 59 anos</c:v>
                </c:pt>
                <c:pt idx="9">
                  <c:v>60 a 69 anos</c:v>
                </c:pt>
                <c:pt idx="10">
                  <c:v>70 a 79 anos</c:v>
                </c:pt>
                <c:pt idx="11">
                  <c:v>80 anos ou mais</c:v>
                </c:pt>
                <c:pt idx="12">
                  <c:v>Ignorado</c:v>
                </c:pt>
              </c:strCache>
            </c:strRef>
          </c:cat>
          <c:val>
            <c:numRef>
              <c:f>Plan3!$B$4:$N$4</c:f>
              <c:numCache>
                <c:formatCode>General</c:formatCode>
                <c:ptCount val="13"/>
                <c:pt idx="0">
                  <c:v>2</c:v>
                </c:pt>
                <c:pt idx="1">
                  <c:v>20</c:v>
                </c:pt>
                <c:pt idx="2">
                  <c:v>2</c:v>
                </c:pt>
                <c:pt idx="3">
                  <c:v>11</c:v>
                </c:pt>
                <c:pt idx="4">
                  <c:v>39</c:v>
                </c:pt>
                <c:pt idx="5">
                  <c:v>123</c:v>
                </c:pt>
                <c:pt idx="6">
                  <c:v>106</c:v>
                </c:pt>
                <c:pt idx="7">
                  <c:v>67</c:v>
                </c:pt>
                <c:pt idx="8">
                  <c:v>28</c:v>
                </c:pt>
                <c:pt idx="9">
                  <c:v>14</c:v>
                </c:pt>
                <c:pt idx="10">
                  <c:v>10</c:v>
                </c:pt>
                <c:pt idx="1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F2-4EE4-B28B-BF0998F1EB7D}"/>
            </c:ext>
          </c:extLst>
        </c:ser>
        <c:ser>
          <c:idx val="1"/>
          <c:order val="1"/>
          <c:tx>
            <c:v>Ano de 2012</c:v>
          </c:tx>
          <c:spPr>
            <a:solidFill>
              <a:schemeClr val="accent3"/>
            </a:solidFill>
          </c:spPr>
          <c:invertIfNegative val="0"/>
          <c:cat>
            <c:strRef>
              <c:f>Plan3!$B$3:$N$3</c:f>
              <c:strCache>
                <c:ptCount val="13"/>
                <c:pt idx="0">
                  <c:v>&lt; 1 ano</c:v>
                </c:pt>
                <c:pt idx="1">
                  <c:v>1 a 4 anos</c:v>
                </c:pt>
                <c:pt idx="2">
                  <c:v>5 a 9 anos</c:v>
                </c:pt>
                <c:pt idx="3">
                  <c:v>10 a 14 anos</c:v>
                </c:pt>
                <c:pt idx="4">
                  <c:v>15 a 19 anos</c:v>
                </c:pt>
                <c:pt idx="5">
                  <c:v>20 a 29 anos</c:v>
                </c:pt>
                <c:pt idx="6">
                  <c:v>30 a 39 anos</c:v>
                </c:pt>
                <c:pt idx="7">
                  <c:v>40 a 49 anos</c:v>
                </c:pt>
                <c:pt idx="8">
                  <c:v>50 a 59 anos</c:v>
                </c:pt>
                <c:pt idx="9">
                  <c:v>60 a 69 anos</c:v>
                </c:pt>
                <c:pt idx="10">
                  <c:v>70 a 79 anos</c:v>
                </c:pt>
                <c:pt idx="11">
                  <c:v>80 anos ou mais</c:v>
                </c:pt>
                <c:pt idx="12">
                  <c:v>Ignorado</c:v>
                </c:pt>
              </c:strCache>
            </c:strRef>
          </c:cat>
          <c:val>
            <c:numRef>
              <c:f>Plan3!$B$5:$N$5</c:f>
              <c:numCache>
                <c:formatCode>General</c:formatCode>
                <c:ptCount val="13"/>
                <c:pt idx="0">
                  <c:v>4</c:v>
                </c:pt>
                <c:pt idx="1">
                  <c:v>46</c:v>
                </c:pt>
                <c:pt idx="2">
                  <c:v>9</c:v>
                </c:pt>
                <c:pt idx="3">
                  <c:v>17</c:v>
                </c:pt>
                <c:pt idx="4">
                  <c:v>58</c:v>
                </c:pt>
                <c:pt idx="5">
                  <c:v>137</c:v>
                </c:pt>
                <c:pt idx="6">
                  <c:v>126</c:v>
                </c:pt>
                <c:pt idx="7">
                  <c:v>75</c:v>
                </c:pt>
                <c:pt idx="8">
                  <c:v>46</c:v>
                </c:pt>
                <c:pt idx="9">
                  <c:v>18</c:v>
                </c:pt>
                <c:pt idx="10">
                  <c:v>10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2F2-4EE4-B28B-BF0998F1EB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7067776"/>
        <c:axId val="227070336"/>
      </c:barChart>
      <c:catAx>
        <c:axId val="2270677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Faixa etária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227070336"/>
        <c:crosses val="autoZero"/>
        <c:auto val="1"/>
        <c:lblAlgn val="ctr"/>
        <c:lblOffset val="100"/>
        <c:noMultiLvlLbl val="0"/>
      </c:catAx>
      <c:valAx>
        <c:axId val="2270703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Número de intoxicações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t-BR"/>
          </a:p>
        </c:txPr>
        <c:crossAx val="2270677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Tejerina</dc:creator>
  <cp:lastModifiedBy>Gabriela Tejerina</cp:lastModifiedBy>
  <cp:revision>1</cp:revision>
  <dcterms:created xsi:type="dcterms:W3CDTF">2018-01-29T14:15:00Z</dcterms:created>
  <dcterms:modified xsi:type="dcterms:W3CDTF">2018-01-29T14:16:00Z</dcterms:modified>
</cp:coreProperties>
</file>