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5" w:rsidRDefault="005A4575">
      <w:r>
        <w:t xml:space="preserve">Anexo </w:t>
      </w: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5A4575">
        <w:rPr>
          <w:rFonts w:ascii="Arial" w:eastAsia="Arial" w:hAnsi="Arial" w:cs="Arial"/>
          <w:b/>
          <w:color w:val="000000"/>
          <w:sz w:val="24"/>
          <w:lang w:eastAsia="pt-BR"/>
        </w:rPr>
        <w:t>Quadro 1</w:t>
      </w:r>
      <w:r w:rsidRPr="005A4575">
        <w:rPr>
          <w:rFonts w:ascii="Arial" w:eastAsia="Arial" w:hAnsi="Arial" w:cs="Arial"/>
          <w:color w:val="000000"/>
          <w:sz w:val="24"/>
          <w:lang w:eastAsia="pt-BR"/>
        </w:rPr>
        <w:t xml:space="preserve"> - Resultados encontrados na literatura. </w:t>
      </w: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eastAsia="pt-BR"/>
        </w:rPr>
      </w:pPr>
    </w:p>
    <w:tbl>
      <w:tblPr>
        <w:tblW w:w="9214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34"/>
        <w:gridCol w:w="2268"/>
        <w:gridCol w:w="5812"/>
      </w:tblGrid>
      <w:tr w:rsidR="005A4575" w:rsidRPr="005A4575" w:rsidTr="00677A4C">
        <w:trPr>
          <w:jc w:val="center"/>
        </w:trPr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Ano</w:t>
            </w:r>
          </w:p>
        </w:tc>
        <w:tc>
          <w:tcPr>
            <w:tcW w:w="2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Autores</w:t>
            </w:r>
          </w:p>
        </w:tc>
        <w:tc>
          <w:tcPr>
            <w:tcW w:w="58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Título</w:t>
            </w:r>
          </w:p>
        </w:tc>
      </w:tr>
      <w:tr w:rsidR="005A4575" w:rsidRPr="005A4575" w:rsidTr="00677A4C">
        <w:trPr>
          <w:trHeight w:val="237"/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Brasil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INCA: 27 de novembro - Dia Nacional de Combate ao Câncer</w:t>
            </w:r>
          </w:p>
        </w:tc>
      </w:tr>
      <w:tr w:rsidR="005A4575" w:rsidRPr="005A4575" w:rsidTr="00677A4C">
        <w:trPr>
          <w:trHeight w:val="229"/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Waters WF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  <w:szCs w:val="20"/>
                <w:lang w:val="en-US" w:eastAsia="pt-BR"/>
              </w:rPr>
            </w:pPr>
            <w:r w:rsidRPr="005A4575">
              <w:rPr>
                <w:rFonts w:ascii="Arial" w:eastAsia="Arial" w:hAnsi="Arial" w:cs="Arial"/>
                <w:i/>
                <w:color w:val="000000"/>
                <w:sz w:val="24"/>
                <w:szCs w:val="20"/>
                <w:lang w:val="en-US" w:eastAsia="pt-BR"/>
              </w:rPr>
              <w:t>Globalization, socioeconomic restructuring, and community health</w:t>
            </w:r>
          </w:p>
        </w:tc>
      </w:tr>
      <w:tr w:rsidR="005A4575" w:rsidRPr="005A4575" w:rsidTr="00677A4C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OMS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Cuidados inovadores para condições crônicas: componentes estruturais de ação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</w:pP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  <w:t>Maldonado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  <w:t xml:space="preserve"> 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  <w:t>Separação dos poderes e sistema de freios e contrapesos: desenvolvimento no estado brasileiro.</w:t>
            </w:r>
          </w:p>
        </w:tc>
      </w:tr>
      <w:tr w:rsidR="005A4575" w:rsidRPr="005A4575" w:rsidTr="00677A4C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Mendes EV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As redes de atenção à saúde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Alves SMC,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Delduque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 MC, Santos </w:t>
            </w:r>
            <w:proofErr w:type="gram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AO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Lei no 13.269/2016: a comoção da sociedade vence o método científico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Baffa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 EF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Separação de poderes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  <w:t>STF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STF suspende eficácia da lei que autoriza uso da fosfoetanolamina 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ONUBR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OMS: câncer mata 8,8 milhões de pessoas anualmente no mundo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Governo do Brasil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Dia Mundial do Câncer (4) alerta para prevenção da doença</w:t>
            </w:r>
          </w:p>
        </w:tc>
      </w:tr>
      <w:tr w:rsidR="005A4575" w:rsidRPr="005A4575" w:rsidTr="00677A4C">
        <w:trPr>
          <w:jc w:val="center"/>
        </w:trPr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4"/>
                <w:szCs w:val="20"/>
                <w:highlight w:val="white"/>
                <w:lang w:eastAsia="pt-BR"/>
              </w:rPr>
            </w:pPr>
            <w:proofErr w:type="spellStart"/>
            <w:r w:rsidRPr="005A4575">
              <w:rPr>
                <w:rFonts w:ascii="Arial" w:eastAsia="Arial" w:hAnsi="Arial" w:cs="Arial"/>
                <w:color w:val="333333"/>
                <w:sz w:val="24"/>
                <w:szCs w:val="20"/>
                <w:highlight w:val="white"/>
                <w:lang w:eastAsia="pt-BR"/>
              </w:rPr>
              <w:t>Zebulum</w:t>
            </w:r>
            <w:proofErr w:type="spellEnd"/>
            <w:r w:rsidRPr="005A4575">
              <w:rPr>
                <w:rFonts w:ascii="Arial" w:eastAsia="Arial" w:hAnsi="Arial" w:cs="Arial"/>
                <w:color w:val="333333"/>
                <w:sz w:val="24"/>
                <w:szCs w:val="20"/>
                <w:highlight w:val="white"/>
                <w:lang w:eastAsia="pt-BR"/>
              </w:rPr>
              <w:t xml:space="preserve"> JC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highlight w:val="white"/>
                <w:lang w:eastAsia="pt-BR"/>
              </w:rPr>
              <w:t>O julgamento do caso da fosfoetanolamina e a jurisprudência do Supremo Tribunal Federal</w:t>
            </w:r>
          </w:p>
        </w:tc>
      </w:tr>
    </w:tbl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5A4575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Fonte: elaboração própria. </w:t>
      </w:r>
    </w:p>
    <w:p w:rsidR="005A4575" w:rsidRDefault="005A4575"/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lang w:eastAsia="pt-BR"/>
        </w:rPr>
      </w:pPr>
      <w:r w:rsidRPr="005A4575">
        <w:rPr>
          <w:rFonts w:ascii="Arial" w:eastAsia="Arial" w:hAnsi="Arial" w:cs="Arial"/>
          <w:b/>
          <w:color w:val="000000"/>
          <w:sz w:val="24"/>
          <w:lang w:eastAsia="pt-BR"/>
        </w:rPr>
        <w:t>Quadro 2</w:t>
      </w:r>
      <w:r w:rsidRPr="005A4575">
        <w:rPr>
          <w:rFonts w:ascii="Arial" w:eastAsia="Arial" w:hAnsi="Arial" w:cs="Arial"/>
          <w:color w:val="000000"/>
          <w:sz w:val="24"/>
          <w:lang w:eastAsia="pt-BR"/>
        </w:rPr>
        <w:t xml:space="preserve"> - Resultados obtidos na legislação</w:t>
      </w: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pt-BR"/>
        </w:rPr>
      </w:pPr>
    </w:p>
    <w:tbl>
      <w:tblPr>
        <w:tblW w:w="9072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31"/>
        <w:gridCol w:w="930"/>
        <w:gridCol w:w="5811"/>
      </w:tblGrid>
      <w:tr w:rsidR="005A4575" w:rsidRPr="005A4575" w:rsidTr="00677A4C">
        <w:trPr>
          <w:trHeight w:val="227"/>
          <w:jc w:val="center"/>
        </w:trPr>
        <w:tc>
          <w:tcPr>
            <w:tcW w:w="2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Número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Data</w:t>
            </w:r>
          </w:p>
        </w:tc>
        <w:tc>
          <w:tcPr>
            <w:tcW w:w="58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Tema</w:t>
            </w:r>
          </w:p>
        </w:tc>
      </w:tr>
      <w:tr w:rsidR="005A4575" w:rsidRPr="005A4575" w:rsidTr="00677A4C">
        <w:trPr>
          <w:trHeight w:val="987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Lei nº 5.991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1973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Dispõe sobre o Controle Sanitário do Comércio de Drogas, Medicamentos, Insumos Farmacêuticos e Correlatos, e dá outras </w:t>
            </w:r>
            <w:proofErr w:type="gramStart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providências</w:t>
            </w:r>
            <w:proofErr w:type="gramEnd"/>
          </w:p>
        </w:tc>
      </w:tr>
      <w:tr w:rsidR="005A4575" w:rsidRPr="005A4575" w:rsidTr="00677A4C">
        <w:trPr>
          <w:trHeight w:val="1007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Lei nº 6.360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1976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Dispõe sobre a Vigilância Sanitária a que ficam sujeitos os Medicamentos, as Drogas, os Insumos Farmacêuticos e Correlatos, Cosméticos, </w:t>
            </w: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lastRenderedPageBreak/>
              <w:t>Saneantes e Outros Produtos, e dá outras Providências.</w:t>
            </w:r>
          </w:p>
        </w:tc>
      </w:tr>
      <w:tr w:rsidR="005A4575" w:rsidRPr="005A4575" w:rsidTr="00677A4C">
        <w:trPr>
          <w:trHeight w:val="245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lastRenderedPageBreak/>
              <w:t>CF 1988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1988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Constituição da República Federativa do Brasil de 1988</w:t>
            </w:r>
          </w:p>
        </w:tc>
      </w:tr>
      <w:tr w:rsidR="005A4575" w:rsidRPr="005A4575" w:rsidTr="00677A4C">
        <w:trPr>
          <w:trHeight w:val="706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Lei nº 9.782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1999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Define o Sistema Nacional de Vigilância Sanitária, cria a Agência Nacional de Vigilância Sanitária, e dá outras providências.</w:t>
            </w:r>
          </w:p>
        </w:tc>
      </w:tr>
      <w:tr w:rsidR="005A4575" w:rsidRPr="005A4575" w:rsidTr="00677A4C">
        <w:trPr>
          <w:trHeight w:val="423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PL 4639/2016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Autoriza o uso da fosfoetanolamina sintética por pacientes diagnosticados com neoplasia maligna.</w:t>
            </w:r>
          </w:p>
        </w:tc>
      </w:tr>
      <w:tr w:rsidR="005A4575" w:rsidRPr="005A4575" w:rsidTr="00677A4C">
        <w:trPr>
          <w:trHeight w:val="498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Projeto de Lei da Câmara n° 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Autoriza o uso da fosfoetanolamina sintética por pacientes diagnosticados com neoplasia maligna.</w:t>
            </w:r>
          </w:p>
        </w:tc>
      </w:tr>
      <w:tr w:rsidR="005A4575" w:rsidRPr="005A4575" w:rsidTr="00677A4C">
        <w:trPr>
          <w:trHeight w:val="283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CS Resolução nº 510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Ética em pesquisa</w:t>
            </w:r>
          </w:p>
        </w:tc>
      </w:tr>
      <w:tr w:rsidR="005A4575" w:rsidRPr="005A4575" w:rsidTr="00677A4C">
        <w:trPr>
          <w:trHeight w:val="42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Lei nº 13.269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Autoriza o uso da fosfoetanolamina sintética por pacientes diagnosticados com neoplasia maligna</w:t>
            </w:r>
          </w:p>
        </w:tc>
      </w:tr>
      <w:tr w:rsidR="005A4575" w:rsidRPr="005A4575" w:rsidTr="00677A4C">
        <w:trPr>
          <w:trHeight w:val="1014"/>
          <w:jc w:val="center"/>
        </w:trPr>
        <w:tc>
          <w:tcPr>
            <w:tcW w:w="23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Parecer nº 00572/2017 /CONJUR­MS/CGU/AGU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2017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Análise do projeto de lei nº 2.431, de 2011 que "autoriza a produção, a comercialização e o consumo, sob prescrição médica, dos </w:t>
            </w:r>
            <w:proofErr w:type="gramStart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anorexígenos sibutramina</w:t>
            </w:r>
            <w:proofErr w:type="gramEnd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,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anfepramona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,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femproporex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 e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mazindol</w:t>
            </w:r>
            <w:proofErr w:type="spellEnd"/>
            <w:r w:rsidRPr="005A4575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"</w:t>
            </w:r>
          </w:p>
        </w:tc>
      </w:tr>
    </w:tbl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5A4575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Fonte: elaboração própria. </w:t>
      </w: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5A4575">
        <w:rPr>
          <w:rFonts w:ascii="Arial" w:eastAsia="Arial" w:hAnsi="Arial" w:cs="Arial"/>
          <w:b/>
          <w:color w:val="000000"/>
          <w:sz w:val="24"/>
          <w:lang w:eastAsia="pt-BR"/>
        </w:rPr>
        <w:t>Quadro 3</w:t>
      </w:r>
      <w:r w:rsidRPr="005A4575">
        <w:rPr>
          <w:rFonts w:ascii="Arial" w:eastAsia="Arial" w:hAnsi="Arial" w:cs="Arial"/>
          <w:color w:val="000000"/>
          <w:sz w:val="24"/>
          <w:lang w:eastAsia="pt-BR"/>
        </w:rPr>
        <w:t xml:space="preserve"> - Relatores que proferiram os pareceres pelas Comissões nas duas Casas Legislativas. </w:t>
      </w:r>
    </w:p>
    <w:tbl>
      <w:tblPr>
        <w:tblW w:w="9030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5"/>
        <w:gridCol w:w="2340"/>
        <w:gridCol w:w="1275"/>
        <w:gridCol w:w="4200"/>
      </w:tblGrid>
      <w:tr w:rsidR="005A4575" w:rsidRPr="005A4575" w:rsidTr="00677A4C">
        <w:trPr>
          <w:trHeight w:val="451"/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Relatora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 xml:space="preserve">Dep. </w:t>
            </w:r>
            <w:proofErr w:type="spellStart"/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>Leandre</w:t>
            </w:r>
            <w:proofErr w:type="spellEnd"/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>PV-PR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Para proferir o parecer pela Comissão de Seguridade Social e Família</w:t>
            </w:r>
          </w:p>
        </w:tc>
      </w:tr>
      <w:tr w:rsidR="005A4575" w:rsidRPr="005A4575" w:rsidTr="00677A4C">
        <w:trPr>
          <w:trHeight w:val="488"/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Relator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Dep. Moroni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Torgan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DEM-CE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Para proferir o parecer pela Comissão de Finanças e Tributação</w:t>
            </w:r>
          </w:p>
        </w:tc>
      </w:tr>
      <w:tr w:rsidR="005A4575" w:rsidRPr="005A4575" w:rsidTr="00677A4C">
        <w:trPr>
          <w:trHeight w:val="343"/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Relator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Dep. Marcelo Aro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>PHS-MG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Para proferir o parecer pela Comissão de Constituição e Justiça e de Cidadania</w:t>
            </w:r>
          </w:p>
        </w:tc>
      </w:tr>
      <w:tr w:rsidR="005A4575" w:rsidRPr="005A4575" w:rsidTr="00677A4C">
        <w:trPr>
          <w:trHeight w:val="367"/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Relator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Senador Ivo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Cassol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</w:pPr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>PP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Comissão de Ciência, Tecnologia, Inovação, Comunicação e </w:t>
            </w:r>
            <w:proofErr w:type="gram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Informática</w:t>
            </w:r>
            <w:proofErr w:type="gramEnd"/>
          </w:p>
        </w:tc>
      </w:tr>
      <w:tr w:rsidR="005A4575" w:rsidRPr="005A4575" w:rsidTr="00677A4C">
        <w:trPr>
          <w:trHeight w:val="249"/>
          <w:jc w:val="center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lastRenderedPageBreak/>
              <w:t>Relator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Senador Acir </w:t>
            </w:r>
            <w:proofErr w:type="spellStart"/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>Gurgacz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</w:pPr>
            <w:r w:rsidRPr="005A4575">
              <w:rPr>
                <w:rFonts w:ascii="Arial" w:eastAsia="Arial" w:hAnsi="Arial" w:cs="Arial"/>
                <w:color w:val="222222"/>
                <w:sz w:val="24"/>
                <w:szCs w:val="20"/>
                <w:highlight w:val="white"/>
                <w:lang w:eastAsia="pt-BR"/>
              </w:rPr>
              <w:t>PDT-RO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575" w:rsidRPr="005A4575" w:rsidRDefault="005A4575" w:rsidP="005A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</w:pPr>
            <w:r w:rsidRPr="005A4575">
              <w:rPr>
                <w:rFonts w:ascii="Arial" w:eastAsia="Arial" w:hAnsi="Arial" w:cs="Arial"/>
                <w:color w:val="000000"/>
                <w:sz w:val="24"/>
                <w:szCs w:val="20"/>
                <w:lang w:eastAsia="pt-BR"/>
              </w:rPr>
              <w:t xml:space="preserve"> Comissão de Assuntos Sociais</w:t>
            </w:r>
          </w:p>
        </w:tc>
      </w:tr>
    </w:tbl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5A4575">
        <w:rPr>
          <w:rFonts w:ascii="Arial" w:eastAsia="Arial" w:hAnsi="Arial" w:cs="Arial"/>
          <w:color w:val="000000"/>
          <w:sz w:val="18"/>
          <w:szCs w:val="18"/>
          <w:lang w:eastAsia="pt-BR"/>
        </w:rPr>
        <w:t>Fonte: Dados retirados do sítio da Câmara e do Senado</w:t>
      </w:r>
      <w:r>
        <w:rPr>
          <w:rFonts w:ascii="Arial" w:eastAsia="Arial" w:hAnsi="Arial" w:cs="Arial"/>
          <w:color w:val="000000"/>
          <w:sz w:val="18"/>
          <w:szCs w:val="18"/>
          <w:lang w:eastAsia="pt-BR"/>
        </w:rPr>
        <w:t>, 2017</w:t>
      </w:r>
      <w:r w:rsidRPr="005A4575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. </w:t>
      </w:r>
    </w:p>
    <w:p w:rsidR="005A4575" w:rsidRPr="005A4575" w:rsidRDefault="005A4575" w:rsidP="005A457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18"/>
          <w:szCs w:val="18"/>
          <w:lang w:eastAsia="pt-BR"/>
        </w:rPr>
      </w:pPr>
    </w:p>
    <w:p w:rsidR="005A4575" w:rsidRDefault="005A4575"/>
    <w:sectPr w:rsidR="005A4575" w:rsidSect="00ED4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4575"/>
    <w:rsid w:val="005A4575"/>
    <w:rsid w:val="00E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</dc:creator>
  <cp:lastModifiedBy>ECOS</cp:lastModifiedBy>
  <cp:revision>1</cp:revision>
  <dcterms:created xsi:type="dcterms:W3CDTF">2018-01-18T18:21:00Z</dcterms:created>
  <dcterms:modified xsi:type="dcterms:W3CDTF">2018-01-18T18:23:00Z</dcterms:modified>
</cp:coreProperties>
</file>