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1" w:rsidRPr="00157C51" w:rsidRDefault="00D03191" w:rsidP="00D031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Recursos Extraordinários com os votos dos Ministros do STF – 2016 –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4708"/>
      </w:tblGrid>
      <w:tr w:rsidR="00D03191" w:rsidTr="00F25234">
        <w:trPr>
          <w:jc w:val="center"/>
        </w:trPr>
        <w:tc>
          <w:tcPr>
            <w:tcW w:w="8644" w:type="dxa"/>
            <w:gridSpan w:val="4"/>
            <w:shd w:val="clear" w:color="auto" w:fill="8DB3E2" w:themeFill="text2" w:themeFillTint="66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5CE">
              <w:rPr>
                <w:rFonts w:ascii="Arial" w:hAnsi="Arial" w:cs="Arial"/>
                <w:i/>
                <w:sz w:val="24"/>
                <w:szCs w:val="24"/>
              </w:rPr>
              <w:t>Teses propostas nos votos dos Recursos Extraordinários</w:t>
            </w:r>
          </w:p>
        </w:tc>
      </w:tr>
      <w:tr w:rsidR="00D03191" w:rsidRPr="00F620B7" w:rsidTr="00F25234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Nº Processo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Ministro</w:t>
            </w:r>
          </w:p>
        </w:tc>
        <w:tc>
          <w:tcPr>
            <w:tcW w:w="4708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Discurso</w:t>
            </w:r>
          </w:p>
        </w:tc>
      </w:tr>
      <w:tr w:rsidR="00D03191" w:rsidRPr="00F620B7" w:rsidTr="00F25234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rPr>
                <w:rFonts w:ascii="Arial" w:hAnsi="Arial" w:cs="Arial"/>
              </w:rPr>
            </w:pPr>
            <w:proofErr w:type="gramStart"/>
            <w:r w:rsidRPr="007905C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843" w:type="dxa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RE 566.471 RN</w:t>
            </w: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Marco Aurélio</w:t>
            </w:r>
            <w:r>
              <w:rPr>
                <w:rFonts w:ascii="Arial" w:hAnsi="Arial" w:cs="Arial"/>
              </w:rPr>
              <w:t xml:space="preserve"> de Melo</w:t>
            </w: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:rsidR="00D03191" w:rsidRPr="007905CE" w:rsidRDefault="00D03191" w:rsidP="00F252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  <w:color w:val="1A1A1A"/>
                <w:shd w:val="clear" w:color="auto" w:fill="FFFFFF"/>
              </w:rPr>
              <w:t xml:space="preserve">“O Estado está obrigado a fornecer 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medicamento registrado na </w:t>
            </w:r>
            <w:proofErr w:type="gramStart"/>
            <w:r>
              <w:rPr>
                <w:rFonts w:ascii="Arial" w:hAnsi="Arial" w:cs="Arial"/>
                <w:color w:val="1A1A1A"/>
                <w:shd w:val="clear" w:color="auto" w:fill="FFFFFF"/>
              </w:rPr>
              <w:t>Anvisa</w:t>
            </w:r>
            <w:proofErr w:type="gramEnd"/>
            <w:r w:rsidRPr="007905CE">
              <w:rPr>
                <w:rFonts w:ascii="Arial" w:hAnsi="Arial" w:cs="Arial"/>
                <w:color w:val="1A1A1A"/>
                <w:shd w:val="clear" w:color="auto" w:fill="FFFFFF"/>
              </w:rPr>
              <w:t xml:space="preserve">, como também o passível de importação, sem similar nacional, desde que comprovada à indispensabilidade para a manutenção da saúde da pessoa, mediante laudo médico, e tenha registro no país de origem”. </w:t>
            </w:r>
          </w:p>
        </w:tc>
      </w:tr>
      <w:tr w:rsidR="00D03191" w:rsidRPr="00F620B7" w:rsidTr="00F25234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rPr>
                <w:rFonts w:ascii="Arial" w:hAnsi="Arial" w:cs="Arial"/>
              </w:rPr>
            </w:pPr>
            <w:proofErr w:type="gramStart"/>
            <w:r w:rsidRPr="007905C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3" w:type="dxa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RE 657.718 MG</w:t>
            </w: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Luís Roberto Barroso</w:t>
            </w:r>
          </w:p>
        </w:tc>
        <w:tc>
          <w:tcPr>
            <w:tcW w:w="4708" w:type="dxa"/>
          </w:tcPr>
          <w:p w:rsidR="00D03191" w:rsidRPr="007905CE" w:rsidRDefault="00D03191" w:rsidP="00F252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05CE">
              <w:rPr>
                <w:color w:val="1A1A1A"/>
                <w:shd w:val="clear" w:color="auto" w:fill="FFFFFF"/>
              </w:rPr>
              <w:t> </w:t>
            </w:r>
            <w:r w:rsidRPr="007905CE">
              <w:rPr>
                <w:rFonts w:ascii="Arial" w:hAnsi="Arial" w:cs="Arial"/>
              </w:rPr>
              <w:t>“</w:t>
            </w:r>
            <w:r w:rsidRPr="007905CE">
              <w:rPr>
                <w:rFonts w:ascii="Arial" w:hAnsi="Arial" w:cs="Arial"/>
                <w:iCs/>
              </w:rPr>
              <w:t xml:space="preserve">O Estado não pode ser obrigado a fornecer medicamentos experimentais, sem eficácia e segurança comprovadas, em nenhuma hipótese. Já em relação a medicamentos não registrados na </w:t>
            </w:r>
            <w:proofErr w:type="gramStart"/>
            <w:r>
              <w:rPr>
                <w:rFonts w:ascii="Arial" w:hAnsi="Arial" w:cs="Arial"/>
                <w:iCs/>
              </w:rPr>
              <w:t>Anvisa</w:t>
            </w:r>
            <w:proofErr w:type="gramEnd"/>
            <w:r w:rsidRPr="007905CE">
              <w:rPr>
                <w:rFonts w:ascii="Arial" w:hAnsi="Arial" w:cs="Arial"/>
                <w:iCs/>
              </w:rPr>
              <w:t xml:space="preserve">, mas com comprovação de eficácia e segurança, o Estado somente pode ser obrigado a fornecê-los na hipótese de </w:t>
            </w:r>
            <w:proofErr w:type="spellStart"/>
            <w:r w:rsidRPr="007905CE">
              <w:rPr>
                <w:rFonts w:ascii="Arial" w:hAnsi="Arial" w:cs="Arial"/>
                <w:iCs/>
              </w:rPr>
              <w:t>irrazoável</w:t>
            </w:r>
            <w:proofErr w:type="spellEnd"/>
            <w:r w:rsidRPr="007905CE">
              <w:rPr>
                <w:rFonts w:ascii="Arial" w:hAnsi="Arial" w:cs="Arial"/>
                <w:iCs/>
              </w:rPr>
              <w:t xml:space="preserve"> mora da Agência em apreciar o pedido de registro (prazo superior a 365 dias), quando preenchidos três requisitos”. </w:t>
            </w:r>
          </w:p>
        </w:tc>
      </w:tr>
      <w:tr w:rsidR="00D03191" w:rsidRPr="00F620B7" w:rsidTr="00F25234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03191" w:rsidRPr="007905CE" w:rsidRDefault="00D03191" w:rsidP="00F25234">
            <w:pPr>
              <w:rPr>
                <w:rFonts w:ascii="Arial" w:hAnsi="Arial" w:cs="Arial"/>
              </w:rPr>
            </w:pPr>
            <w:proofErr w:type="gramStart"/>
            <w:r w:rsidRPr="007905CE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43" w:type="dxa"/>
          </w:tcPr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>RE 566.471 RN</w:t>
            </w:r>
          </w:p>
        </w:tc>
        <w:tc>
          <w:tcPr>
            <w:tcW w:w="1701" w:type="dxa"/>
          </w:tcPr>
          <w:p w:rsidR="00D03191" w:rsidRPr="007905CE" w:rsidRDefault="00D03191" w:rsidP="00F25234">
            <w:pPr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rPr>
                <w:rFonts w:ascii="Arial" w:hAnsi="Arial" w:cs="Arial"/>
              </w:rPr>
            </w:pPr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</w:rPr>
              <w:t xml:space="preserve">Luiz Edson </w:t>
            </w:r>
            <w:proofErr w:type="spellStart"/>
            <w:r w:rsidRPr="007905CE">
              <w:rPr>
                <w:rFonts w:ascii="Arial" w:hAnsi="Arial" w:cs="Arial"/>
              </w:rPr>
              <w:t>Fachin</w:t>
            </w:r>
            <w:proofErr w:type="spellEnd"/>
          </w:p>
          <w:p w:rsidR="00D03191" w:rsidRPr="007905CE" w:rsidRDefault="00D03191" w:rsidP="00F25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</w:tcPr>
          <w:p w:rsidR="00D03191" w:rsidRPr="007905CE" w:rsidRDefault="00D03191" w:rsidP="00F252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05CE">
              <w:rPr>
                <w:rFonts w:ascii="Arial" w:hAnsi="Arial" w:cs="Arial"/>
                <w:color w:val="1A1A1A"/>
                <w:shd w:val="clear" w:color="auto" w:fill="FFFFFF"/>
              </w:rPr>
              <w:t xml:space="preserve"> “No âmbito da política de assistência à saúde, é possível ao Estado prever, como regra geral, a vedação da dispensação, do pagamento, do ressarcimento ou do reembolso de medicamento e produto, nacional ou importado, sem registro na Agência Nacional de Vigilância Sanitária – 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ANVISA</w:t>
            </w:r>
            <w:r w:rsidRPr="007905CE">
              <w:rPr>
                <w:rFonts w:ascii="Arial" w:hAnsi="Arial" w:cs="Arial"/>
                <w:color w:val="1A1A1A"/>
                <w:shd w:val="clear" w:color="auto" w:fill="FFFFFF"/>
              </w:rPr>
              <w:t>”.</w:t>
            </w:r>
          </w:p>
        </w:tc>
      </w:tr>
    </w:tbl>
    <w:p w:rsidR="00D03191" w:rsidRDefault="00D03191" w:rsidP="00D03191">
      <w:pPr>
        <w:rPr>
          <w:rFonts w:ascii="Arial" w:hAnsi="Arial" w:cs="Arial"/>
        </w:rPr>
      </w:pPr>
      <w:r w:rsidRPr="004B6C0E">
        <w:rPr>
          <w:rFonts w:ascii="Arial" w:hAnsi="Arial" w:cs="Arial"/>
          <w:b/>
        </w:rPr>
        <w:t>Fonte</w:t>
      </w:r>
      <w:r w:rsidRPr="004B6C0E">
        <w:rPr>
          <w:rFonts w:ascii="Arial" w:hAnsi="Arial" w:cs="Arial"/>
        </w:rPr>
        <w:t>: Elaborado pela autora com base na análise dos Recursos Extraordinários dos Ministros do Supremo Tribunal Federal</w:t>
      </w:r>
      <w:r>
        <w:rPr>
          <w:rFonts w:ascii="Arial" w:hAnsi="Arial" w:cs="Arial"/>
        </w:rPr>
        <w:t>.</w:t>
      </w:r>
    </w:p>
    <w:p w:rsidR="005520DD" w:rsidRDefault="008C1B23"/>
    <w:p w:rsidR="008C1B23" w:rsidRDefault="008C1B23"/>
    <w:p w:rsidR="008C1B23" w:rsidRDefault="008C1B23"/>
    <w:p w:rsidR="008C1B23" w:rsidRPr="007905CE" w:rsidRDefault="008C1B23" w:rsidP="008C1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9E2">
        <w:rPr>
          <w:rFonts w:ascii="Arial" w:hAnsi="Arial" w:cs="Arial"/>
          <w:b/>
          <w:sz w:val="24"/>
          <w:szCs w:val="24"/>
        </w:rPr>
        <w:lastRenderedPageBreak/>
        <w:t xml:space="preserve">Quadro </w:t>
      </w:r>
      <w:proofErr w:type="gramStart"/>
      <w:r w:rsidRPr="005C29E2">
        <w:rPr>
          <w:rFonts w:ascii="Arial" w:hAnsi="Arial" w:cs="Arial"/>
          <w:b/>
          <w:sz w:val="24"/>
          <w:szCs w:val="24"/>
        </w:rPr>
        <w:t>2</w:t>
      </w:r>
      <w:proofErr w:type="gramEnd"/>
      <w:r w:rsidRPr="005C29E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Argumentos-chave dos discursos dos Ministros do STF – 2016.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7"/>
        <w:gridCol w:w="2473"/>
        <w:gridCol w:w="2317"/>
        <w:gridCol w:w="2113"/>
      </w:tblGrid>
      <w:tr w:rsidR="008C1B23" w:rsidTr="00F25234">
        <w:tc>
          <w:tcPr>
            <w:tcW w:w="2013" w:type="dxa"/>
            <w:shd w:val="clear" w:color="auto" w:fill="8DB3E2" w:themeFill="text2" w:themeFillTint="66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Tópicos</w:t>
            </w:r>
          </w:p>
        </w:tc>
        <w:tc>
          <w:tcPr>
            <w:tcW w:w="2924" w:type="dxa"/>
            <w:shd w:val="clear" w:color="auto" w:fill="8DB3E2" w:themeFill="text2" w:themeFillTint="66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Ministro Marco Aurélio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Mello</w:t>
            </w:r>
          </w:p>
        </w:tc>
        <w:tc>
          <w:tcPr>
            <w:tcW w:w="2662" w:type="dxa"/>
            <w:shd w:val="clear" w:color="auto" w:fill="8DB3E2" w:themeFill="text2" w:themeFillTint="66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Ministro Luís Roberto Barroso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Ministro Edson </w:t>
            </w:r>
            <w:proofErr w:type="spellStart"/>
            <w:r w:rsidRPr="00157C51">
              <w:rPr>
                <w:rFonts w:ascii="Arial" w:hAnsi="Arial" w:cs="Arial"/>
                <w:sz w:val="20"/>
                <w:szCs w:val="20"/>
              </w:rPr>
              <w:t>Fachin</w:t>
            </w:r>
            <w:proofErr w:type="spellEnd"/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direito à saúde e o orçamento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Problemas orçamentários não podem ser obstáculos para a garantia de direitos previstos constitucionalmente.</w:t>
            </w:r>
          </w:p>
          <w:p w:rsidR="008C1B23" w:rsidRPr="00157C51" w:rsidRDefault="008C1B23" w:rsidP="00F25234">
            <w:pPr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O sistema não seria sustentável se todos os remédios, independentemente de seu custo e impacto financeiro, fossem oferecidos pelo Estado a todas as pessoas. Cada cidadão faz jus ao máximo de justiça em matéria de saúde que o país possa pagar. O orçamento é o </w:t>
            </w:r>
            <w:proofErr w:type="spellStart"/>
            <w:r w:rsidRPr="00157C51">
              <w:rPr>
                <w:rFonts w:ascii="Arial" w:hAnsi="Arial" w:cs="Arial"/>
                <w:i/>
                <w:sz w:val="20"/>
                <w:szCs w:val="20"/>
              </w:rPr>
              <w:t>locus</w:t>
            </w:r>
            <w:proofErr w:type="spellEnd"/>
            <w:r w:rsidRPr="00157C51">
              <w:rPr>
                <w:rFonts w:ascii="Arial" w:hAnsi="Arial" w:cs="Arial"/>
                <w:sz w:val="20"/>
                <w:szCs w:val="20"/>
              </w:rPr>
              <w:t xml:space="preserve"> da discussão.</w:t>
            </w:r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sistema deveria buscar a promoção da saúde com medicamentos universalizáveis, ou seja, que pudessem ser estendidos a todos que deles necessitassem, do ponto de vista prático e financeiro. A interferência judicial pode interferir no deslocamento de recursos de outra área da saúde, por isso deve haver critérios para as determinações de obrigatoriedade.</w:t>
            </w:r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direito à saúde e o papel do Estado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Estado deve tutelar o mínimo existencial (inclui a saúde).</w:t>
            </w:r>
          </w:p>
          <w:p w:rsidR="008C1B23" w:rsidRPr="00157C51" w:rsidRDefault="008C1B23" w:rsidP="00F25234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Estado tem a obrigação de fornecer os medicamentos incorporados na política pública de saúde</w:t>
            </w:r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É dever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do Estado promover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 xml:space="preserve"> a saúde de todos, conforme assegurado na Constituição</w:t>
            </w:r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Regra geral sobre o direito de acesso a medicamentos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 direito à saúde é direito social fundamental e engloba o acesso a medicamentos</w:t>
            </w: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Infere-se que o direito à saúde é relativo – depende da política pública preestabelecida, como regra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geral</w:t>
            </w:r>
            <w:proofErr w:type="gramEnd"/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Há direito subjetivo às políticas públicas de assistência à saúde – obtenção de medicamento já incorporado nas listas oficiais. Esse direito, no entanto, está vinculado aos </w:t>
            </w: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princípios da universalidade, equidade e precaução ou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segurança</w:t>
            </w:r>
            <w:proofErr w:type="gramEnd"/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>O direito à saúde a as políticas de saúde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Omissões ou falhas na execução das políticas não podem obstaculizar o direito à saúde.</w:t>
            </w: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A palavra final, em regra, sobre a incorporação de medicamentos, é do Poder Executivo, e deve ser aprimorado o diálogo interinstitucional entre o Judiciário e os atores/entidades que possuam conhecimento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técnico</w:t>
            </w:r>
            <w:proofErr w:type="gramEnd"/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O Judiciário não é responsável pelas escolhas políticas, e deve agir de forma parcimoniosa em situações que possam afetar a alocação de recursos públicos – acredita na importância de definição de critérios claros para os julgamentos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futuros</w:t>
            </w:r>
            <w:proofErr w:type="gramEnd"/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Os limites da atuação judicial acerca da matéria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A intervenção judicial deveria ser adotada em situações concretas, não alcançadas pelas políticas públicas vigentes.</w:t>
            </w:r>
          </w:p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A atuação do Judiciário deveria se restringir aos casos de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não-fornecimento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 xml:space="preserve"> de medicamentos já padronizados pelo SUS. Na hipótese de o medicamento não ser incorporado pelo SUS, o Judiciário somente poderia determinar o seu fornecimento em casos excepcionais. A atuação do Judiciário sem critérios pode desorganizar a atividade administrativa.</w:t>
            </w:r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A tutela jurisdicional deve 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>ser,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 xml:space="preserve"> preferencialmente, pleiteada em ações coletivas ou coletivizáveis. Na hipótese de o medicamento não ser incorporado pelo SUS, o Judiciário somente poderia determinar o seu fornecimento em casos excepcionais.</w:t>
            </w:r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Requisitos para a</w:t>
            </w:r>
            <w:proofErr w:type="gramStart"/>
            <w:r w:rsidRPr="00157C5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 xml:space="preserve">obrigatoriedade de fornecimento </w:t>
            </w: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de medicamentos não incorporados  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Comprovação da imprescindibilidade do tratamento e da </w:t>
            </w: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>incapacidade financeira da aquisição.</w:t>
            </w:r>
          </w:p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Possível somente após a demonstração da eficácia e da </w:t>
            </w: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segurança do fármaco, quando o prazo de registro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Anvisa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 xml:space="preserve"> ultrapassar 365 dias, sendo necessária a comprovação dos seguintes requisitos: </w:t>
            </w:r>
            <w:r w:rsidRPr="00157C51">
              <w:t xml:space="preserve">existência de pedido de registro do medicamento no Brasil; existência de registro do medicamento pleiteado em renomadas agências de regulação no exterior; inexistência de substituto terapêutico registrado na </w:t>
            </w:r>
            <w:r>
              <w:t>Anvisa</w:t>
            </w:r>
            <w:r w:rsidRPr="00157C51">
              <w:t>.</w:t>
            </w:r>
          </w:p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Quando demonstrada a falha ou demora no </w:t>
            </w: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 xml:space="preserve">processo de incorporação e em situações excepcionais, com a observação dos seguintes parâmetros probatórios: demonstração de prévio requerimento administrativo junto à rede pública; preferencial prescrição por médico ligado à rede pública; </w:t>
            </w:r>
            <w:r w:rsidRPr="00157C51">
              <w:t xml:space="preserve">Preferencial designação do medicamento pela Denominação Comum Brasileira (DCB) e, em não havendo a CDB, a DCI (denominação comum internacional); Justificativa da inadequação ou da inexistência de medicamento/ tratamento dispensado na rede pública; em caso de negativa de dispensa na rede pública, é necessária a realização de laudo </w:t>
            </w:r>
            <w:r w:rsidRPr="00157C51">
              <w:lastRenderedPageBreak/>
              <w:t xml:space="preserve">médico indicando a necessidade do tratamento, seus efeitos, estudos da Medicina Baseada em Evidências - MBE e vantagens para o paciente, além de comparar com eventuais fármacos fornecidos pelo </w:t>
            </w:r>
            <w:proofErr w:type="gramStart"/>
            <w:r w:rsidRPr="00157C51">
              <w:t>SUS</w:t>
            </w:r>
            <w:proofErr w:type="gramEnd"/>
          </w:p>
        </w:tc>
      </w:tr>
      <w:tr w:rsidR="008C1B23" w:rsidTr="00F25234">
        <w:tc>
          <w:tcPr>
            <w:tcW w:w="201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lastRenderedPageBreak/>
              <w:t>Sobre a hipossuficiência do requente e da família</w:t>
            </w:r>
          </w:p>
        </w:tc>
        <w:tc>
          <w:tcPr>
            <w:tcW w:w="2924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O dever dos membros da família para com o paciente (solidariedade familiar) – a manifestação espontânea. </w:t>
            </w:r>
          </w:p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 xml:space="preserve">Não inclui no discurso o princípio da solidariedade familiar. Na hipótese de mora injustificada 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Anvisa</w:t>
            </w:r>
            <w:proofErr w:type="gramEnd"/>
            <w:r w:rsidRPr="00157C51">
              <w:rPr>
                <w:rFonts w:ascii="Arial" w:hAnsi="Arial" w:cs="Arial"/>
                <w:sz w:val="20"/>
                <w:szCs w:val="20"/>
              </w:rPr>
              <w:t>, prevê que a garantia de acesso ao medicamento, pelo SUS, depende da comprovação da hipossuficiência do paciente</w:t>
            </w:r>
          </w:p>
        </w:tc>
        <w:tc>
          <w:tcPr>
            <w:tcW w:w="2363" w:type="dxa"/>
          </w:tcPr>
          <w:p w:rsidR="008C1B23" w:rsidRPr="00157C51" w:rsidRDefault="008C1B23" w:rsidP="00F252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51">
              <w:rPr>
                <w:rFonts w:ascii="Arial" w:hAnsi="Arial" w:cs="Arial"/>
                <w:sz w:val="20"/>
                <w:szCs w:val="20"/>
              </w:rPr>
              <w:t>Não inclui no discurso da hipossuficiência nem da solidariedade familiar</w:t>
            </w:r>
          </w:p>
        </w:tc>
      </w:tr>
    </w:tbl>
    <w:p w:rsidR="008C1B23" w:rsidRDefault="008C1B23" w:rsidP="008C1B23">
      <w:pPr>
        <w:rPr>
          <w:rFonts w:ascii="Arial" w:hAnsi="Arial" w:cs="Arial"/>
        </w:rPr>
      </w:pPr>
      <w:r w:rsidRPr="004B6C0E">
        <w:rPr>
          <w:rFonts w:ascii="Arial" w:hAnsi="Arial" w:cs="Arial"/>
          <w:b/>
        </w:rPr>
        <w:t>Fonte</w:t>
      </w:r>
      <w:r w:rsidRPr="004B6C0E">
        <w:rPr>
          <w:rFonts w:ascii="Arial" w:hAnsi="Arial" w:cs="Arial"/>
        </w:rPr>
        <w:t>: Elaborado pela autora com base na análise dos Recursos Extraordinários dos Ministros do Supremo Tribunal Federal</w:t>
      </w:r>
      <w:r>
        <w:rPr>
          <w:rFonts w:ascii="Arial" w:hAnsi="Arial" w:cs="Arial"/>
        </w:rPr>
        <w:t>.</w:t>
      </w:r>
    </w:p>
    <w:p w:rsidR="008C1B23" w:rsidRDefault="008C1B23" w:rsidP="008C1B23"/>
    <w:p w:rsidR="008C1B23" w:rsidRDefault="008C1B23">
      <w:bookmarkStart w:id="0" w:name="_GoBack"/>
      <w:bookmarkEnd w:id="0"/>
    </w:p>
    <w:sectPr w:rsidR="008C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91"/>
    <w:rsid w:val="001264A5"/>
    <w:rsid w:val="008C1B23"/>
    <w:rsid w:val="008D65FB"/>
    <w:rsid w:val="00D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Géssika</dc:creator>
  <cp:lastModifiedBy>Géssika</cp:lastModifiedBy>
  <cp:revision>2</cp:revision>
  <dcterms:created xsi:type="dcterms:W3CDTF">2018-01-14T19:38:00Z</dcterms:created>
  <dcterms:modified xsi:type="dcterms:W3CDTF">2018-01-14T19:51:00Z</dcterms:modified>
</cp:coreProperties>
</file>