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D8" w:rsidRPr="0037773B" w:rsidRDefault="00AF24D8" w:rsidP="00AF24D8">
      <w:pPr>
        <w:jc w:val="both"/>
        <w:rPr>
          <w:rFonts w:ascii="Arial" w:hAnsi="Arial" w:cs="Arial"/>
          <w:b/>
          <w:sz w:val="24"/>
          <w:szCs w:val="28"/>
        </w:rPr>
      </w:pPr>
      <w:r w:rsidRPr="0037773B">
        <w:rPr>
          <w:rFonts w:ascii="Arial" w:hAnsi="Arial" w:cs="Arial"/>
          <w:b/>
          <w:sz w:val="24"/>
          <w:szCs w:val="28"/>
        </w:rPr>
        <w:t>Análise Idiossincrática dos Discursos proferidos nas decisões judiciais sobre Erro Médico no TJDFT: um estudo qualitativo.</w:t>
      </w:r>
    </w:p>
    <w:p w:rsidR="00AF24D8" w:rsidRDefault="00AF24D8" w:rsidP="00AF24D8">
      <w:r>
        <w:t>GRÁFICOS</w:t>
      </w:r>
      <w:bookmarkStart w:id="0" w:name="_GoBack"/>
      <w:bookmarkEnd w:id="0"/>
    </w:p>
    <w:p w:rsidR="00AF24D8" w:rsidRPr="0037773B" w:rsidRDefault="00AF24D8" w:rsidP="00AF24D8">
      <w:pPr>
        <w:pStyle w:val="FIGURA"/>
        <w:rPr>
          <w:sz w:val="20"/>
        </w:rPr>
      </w:pPr>
      <w:r w:rsidRPr="0037773B">
        <w:rPr>
          <w:sz w:val="20"/>
        </w:rPr>
        <w:t>Figura 1 Tipos de requeridos nos processos entre 2013-2015 no TJDFT sobre erro médico. (Fonte: TJDFT)</w:t>
      </w:r>
    </w:p>
    <w:p w:rsidR="00AF24D8" w:rsidRDefault="00AF24D8" w:rsidP="00AF24D8">
      <w:pPr>
        <w:rPr>
          <w:sz w:val="20"/>
        </w:rPr>
      </w:pPr>
      <w:r w:rsidRPr="0037773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1DF48C7" wp14:editId="4DF7EC69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4157980" cy="2059305"/>
            <wp:effectExtent l="0" t="0" r="13970" b="17145"/>
            <wp:wrapTopAndBottom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473816679"/>
    </w:p>
    <w:bookmarkEnd w:id="1"/>
    <w:p w:rsidR="00AF24D8" w:rsidRDefault="00AF24D8" w:rsidP="00AF24D8"/>
    <w:p w:rsidR="00AF24D8" w:rsidRPr="0037773B" w:rsidRDefault="00AF24D8" w:rsidP="00AF24D8">
      <w:pPr>
        <w:pStyle w:val="TABELA"/>
        <w:jc w:val="both"/>
        <w:rPr>
          <w:sz w:val="20"/>
        </w:rPr>
      </w:pPr>
      <w:r w:rsidRPr="0037773B">
        <w:rPr>
          <w:sz w:val="20"/>
        </w:rPr>
        <w:t>Tabela 1 – Análise dos Discursos inseridos nas Decisões Procedentes das Apelações Cíveis e Criminais com a Variável Normativa.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7"/>
        <w:gridCol w:w="2821"/>
        <w:gridCol w:w="2826"/>
      </w:tblGrid>
      <w:tr w:rsidR="00AF24D8" w:rsidRPr="0037773B" w:rsidTr="00AF24D8">
        <w:tc>
          <w:tcPr>
            <w:tcW w:w="2847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Discurso na linguagem do acórdão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Unidade significativa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Asserções articuladas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>A saúde é direito de todos e dever do Estado, garantido mediante políticas sociais e econômicas que visem à redução do risco de doença e de outros agravos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ao art.196 CF/88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cidadão tem direito a saúde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1"/>
              </w:numPr>
              <w:ind w:left="22" w:firstLine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"[...] do ponto de vista da execução de políticas públicas para o fim de tornar efetivos tais direitos subjetivos constitucionais, foram previstas as regras dos </w:t>
            </w:r>
            <w:proofErr w:type="spellStart"/>
            <w:r w:rsidRPr="0037773B">
              <w:rPr>
                <w:rFonts w:ascii="Arial" w:hAnsi="Arial" w:cs="Arial"/>
                <w:b/>
                <w:i/>
                <w:sz w:val="18"/>
                <w:szCs w:val="18"/>
              </w:rPr>
              <w:t>arts</w:t>
            </w:r>
            <w:proofErr w:type="spellEnd"/>
            <w:r w:rsidRPr="0037773B">
              <w:rPr>
                <w:rFonts w:ascii="Arial" w:hAnsi="Arial" w:cs="Arial"/>
                <w:b/>
                <w:i/>
                <w:sz w:val="18"/>
                <w:szCs w:val="18"/>
              </w:rPr>
              <w:t>. 196, 197 e 198 da Constituição Federal,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ao art. 196 CF/88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cidadão tem direito à saúde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1"/>
              </w:numPr>
              <w:ind w:left="22" w:firstLine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É o que dispõe o </w:t>
            </w:r>
            <w:r w:rsidRPr="0037773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§4º do artigo 14 do CDC, </w:t>
            </w: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in </w:t>
            </w:r>
            <w:proofErr w:type="spellStart"/>
            <w:r w:rsidRPr="0037773B">
              <w:rPr>
                <w:rFonts w:ascii="Arial" w:hAnsi="Arial" w:cs="Arial"/>
                <w:i/>
                <w:sz w:val="18"/>
                <w:szCs w:val="18"/>
              </w:rPr>
              <w:t>verbis</w:t>
            </w:r>
            <w:proofErr w:type="spellEnd"/>
            <w:r w:rsidRPr="0037773B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ao Código de Defesa do Consumidor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consumidor tem direito a prestação de serviços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1"/>
              </w:numPr>
              <w:ind w:left="0" w:firstLine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" É o que se extrai do disposto no artigo 186 do Código Civil: "Aquele </w:t>
            </w:r>
            <w:proofErr w:type="gramStart"/>
            <w:r w:rsidRPr="0037773B">
              <w:rPr>
                <w:rFonts w:ascii="Arial" w:hAnsi="Arial" w:cs="Arial"/>
                <w:i/>
                <w:sz w:val="18"/>
                <w:szCs w:val="18"/>
              </w:rPr>
              <w:t>que....</w:t>
            </w:r>
            <w:proofErr w:type="gramEnd"/>
            <w:r w:rsidRPr="0037773B">
              <w:rPr>
                <w:rFonts w:ascii="Arial" w:hAnsi="Arial" w:cs="Arial"/>
                <w:i/>
                <w:sz w:val="18"/>
                <w:szCs w:val="18"/>
              </w:rPr>
              <w:t>”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ao Código Civil Brasileiro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cidadão tem direitos.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1"/>
              </w:numPr>
              <w:ind w:left="0"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“...a culpa do profissional responsável pelo procedimento, conforme a teoria de responsabilidade subjetiva dos profissionais liberais abrigada pela </w:t>
            </w:r>
            <w:r w:rsidRPr="0037773B">
              <w:rPr>
                <w:rFonts w:ascii="Arial" w:hAnsi="Arial" w:cs="Arial"/>
                <w:b/>
                <w:i/>
                <w:sz w:val="18"/>
                <w:szCs w:val="18"/>
              </w:rPr>
              <w:t>legislação consumerista”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ao Código de Defesa do Consumidor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consumidor mantém uma relação consumerista com o prestado do serviço de saúde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6)</w:t>
            </w: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 "[...] com o intento de regulamentação da matéria, a Lei nº 8.080, de 19 de setembro de 1990</w:t>
            </w:r>
            <w:r w:rsidRPr="0037773B">
              <w:rPr>
                <w:rFonts w:ascii="Arial" w:hAnsi="Arial" w:cs="Arial"/>
                <w:i/>
                <w:sz w:val="24"/>
                <w:szCs w:val="24"/>
              </w:rPr>
              <w:t>”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Citação a Lei Federal 8080/90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cidadão amparado pela lei</w:t>
            </w:r>
          </w:p>
        </w:tc>
      </w:tr>
      <w:tr w:rsidR="00AF24D8" w:rsidRPr="0037773B" w:rsidTr="00AF24D8">
        <w:tc>
          <w:tcPr>
            <w:tcW w:w="2847" w:type="dxa"/>
          </w:tcPr>
          <w:p w:rsidR="00AF24D8" w:rsidRPr="0037773B" w:rsidRDefault="00AF24D8" w:rsidP="00575112">
            <w:pPr>
              <w:pStyle w:val="PargrafodaLista"/>
              <w:ind w:left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7)"[...] por outro lado, o Código de Ética Médica (Resolução CFM nº 1.246/88, de 08.01.88, </w:t>
            </w:r>
            <w:r w:rsidRPr="0037773B">
              <w:rPr>
                <w:rFonts w:ascii="Arial" w:hAnsi="Arial" w:cs="Arial"/>
                <w:i/>
                <w:sz w:val="18"/>
                <w:szCs w:val="18"/>
              </w:rPr>
              <w:lastRenderedPageBreak/>
              <w:t>D.O.U 26.01.88), estabelece os seguintes preceitos deontológico</w:t>
            </w:r>
          </w:p>
        </w:tc>
        <w:tc>
          <w:tcPr>
            <w:tcW w:w="2821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lastRenderedPageBreak/>
              <w:t>Citação ao Código de Ética Médica</w:t>
            </w:r>
          </w:p>
        </w:tc>
        <w:tc>
          <w:tcPr>
            <w:tcW w:w="2826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O médico deve prestar serviços de qualidade</w:t>
            </w:r>
          </w:p>
        </w:tc>
      </w:tr>
    </w:tbl>
    <w:p w:rsidR="00AF24D8" w:rsidRPr="0037773B" w:rsidRDefault="00AF24D8" w:rsidP="00AF24D8">
      <w:pPr>
        <w:jc w:val="both"/>
        <w:rPr>
          <w:rFonts w:ascii="Arial" w:hAnsi="Arial" w:cs="Arial"/>
          <w:sz w:val="20"/>
          <w:szCs w:val="18"/>
        </w:rPr>
      </w:pPr>
      <w:r w:rsidRPr="0037773B">
        <w:rPr>
          <w:rFonts w:ascii="Arial" w:hAnsi="Arial" w:cs="Arial"/>
          <w:sz w:val="20"/>
          <w:szCs w:val="18"/>
        </w:rPr>
        <w:t>Fonte: Fragmentos das decisões dos processos do TJDFT</w:t>
      </w:r>
    </w:p>
    <w:p w:rsidR="00AF24D8" w:rsidRDefault="00AF24D8" w:rsidP="00AF24D8">
      <w:pPr>
        <w:pStyle w:val="TABELA"/>
        <w:jc w:val="both"/>
        <w:rPr>
          <w:b/>
          <w:sz w:val="20"/>
        </w:rPr>
      </w:pPr>
      <w:bookmarkStart w:id="2" w:name="_Toc473816949"/>
    </w:p>
    <w:p w:rsidR="00AF24D8" w:rsidRPr="0037773B" w:rsidRDefault="00AF24D8" w:rsidP="00AF24D8">
      <w:pPr>
        <w:pStyle w:val="TABELA"/>
        <w:jc w:val="both"/>
        <w:rPr>
          <w:sz w:val="20"/>
        </w:rPr>
      </w:pPr>
      <w:r w:rsidRPr="0037773B">
        <w:rPr>
          <w:b/>
          <w:sz w:val="20"/>
        </w:rPr>
        <w:t>Tabela 2</w:t>
      </w:r>
      <w:r w:rsidRPr="0037773B">
        <w:rPr>
          <w:sz w:val="20"/>
        </w:rPr>
        <w:t xml:space="preserve"> – Análise dos Discursos inseridos nas Decisões Procedentes das Apelações Cíveis e Criminais com a Variável Processual.</w:t>
      </w:r>
      <w:bookmarkEnd w:id="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25"/>
      </w:tblGrid>
      <w:tr w:rsidR="00AF24D8" w:rsidRPr="0037773B" w:rsidTr="00AF24D8">
        <w:tc>
          <w:tcPr>
            <w:tcW w:w="2834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Discurso na linguagem do acórdão</w:t>
            </w:r>
          </w:p>
        </w:tc>
        <w:tc>
          <w:tcPr>
            <w:tcW w:w="283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Unidade significativa</w:t>
            </w:r>
          </w:p>
        </w:tc>
        <w:tc>
          <w:tcPr>
            <w:tcW w:w="282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Asserções articuladas</w:t>
            </w:r>
          </w:p>
        </w:tc>
      </w:tr>
      <w:tr w:rsidR="00AF24D8" w:rsidRPr="0037773B" w:rsidTr="00AF24D8">
        <w:tc>
          <w:tcPr>
            <w:tcW w:w="2834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2"/>
              </w:numPr>
              <w:ind w:left="22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No momento processual oportuno, formulou pedido de produção de prova pericial, o qual foi indeferido.</w:t>
            </w:r>
          </w:p>
        </w:tc>
        <w:tc>
          <w:tcPr>
            <w:tcW w:w="283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Violação do CPC</w:t>
            </w:r>
          </w:p>
        </w:tc>
        <w:tc>
          <w:tcPr>
            <w:tcW w:w="282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 xml:space="preserve">Prova pericial </w:t>
            </w:r>
          </w:p>
        </w:tc>
      </w:tr>
      <w:tr w:rsidR="00AF24D8" w:rsidRPr="0037773B" w:rsidTr="00AF24D8">
        <w:tc>
          <w:tcPr>
            <w:tcW w:w="2834" w:type="dxa"/>
          </w:tcPr>
          <w:p w:rsidR="00AF24D8" w:rsidRPr="0037773B" w:rsidRDefault="00AF24D8" w:rsidP="00AF24D8">
            <w:pPr>
              <w:pStyle w:val="PargrafodaLista"/>
              <w:numPr>
                <w:ilvl w:val="0"/>
                <w:numId w:val="2"/>
              </w:numPr>
              <w:ind w:left="0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Não logrando a consumidora demonstrar a ocorrência de dano moral passível de reparação, tampouco o nexo de causalidade entre o suposto erro médico e o abalo moral que aquela alegou sofrer</w:t>
            </w:r>
          </w:p>
        </w:tc>
        <w:tc>
          <w:tcPr>
            <w:tcW w:w="283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Nexo Causal não provado</w:t>
            </w:r>
          </w:p>
        </w:tc>
        <w:tc>
          <w:tcPr>
            <w:tcW w:w="282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Nexo Causal</w:t>
            </w:r>
          </w:p>
        </w:tc>
      </w:tr>
    </w:tbl>
    <w:p w:rsidR="00AF24D8" w:rsidRPr="0037773B" w:rsidRDefault="00AF24D8" w:rsidP="00AF24D8">
      <w:pPr>
        <w:jc w:val="both"/>
        <w:rPr>
          <w:rFonts w:ascii="Arial" w:hAnsi="Arial" w:cs="Arial"/>
          <w:sz w:val="28"/>
          <w:szCs w:val="24"/>
        </w:rPr>
      </w:pPr>
      <w:r w:rsidRPr="0037773B">
        <w:rPr>
          <w:rFonts w:ascii="Arial" w:hAnsi="Arial" w:cs="Arial"/>
          <w:sz w:val="20"/>
          <w:szCs w:val="18"/>
        </w:rPr>
        <w:t>Fonte:</w:t>
      </w:r>
      <w:r w:rsidRPr="0037773B">
        <w:rPr>
          <w:rFonts w:ascii="Arial" w:hAnsi="Arial" w:cs="Arial"/>
          <w:sz w:val="28"/>
          <w:szCs w:val="24"/>
        </w:rPr>
        <w:t xml:space="preserve"> </w:t>
      </w:r>
      <w:r w:rsidRPr="0037773B">
        <w:rPr>
          <w:rFonts w:ascii="Arial" w:hAnsi="Arial" w:cs="Arial"/>
          <w:sz w:val="20"/>
          <w:szCs w:val="18"/>
        </w:rPr>
        <w:t>Fragmentos das decisões dos processos do TJDFT</w:t>
      </w:r>
    </w:p>
    <w:p w:rsidR="00AF24D8" w:rsidRDefault="00AF24D8" w:rsidP="00AF24D8"/>
    <w:p w:rsidR="00AF24D8" w:rsidRPr="0037773B" w:rsidRDefault="00AF24D8" w:rsidP="00AF24D8">
      <w:pPr>
        <w:pStyle w:val="TABELA"/>
        <w:jc w:val="both"/>
        <w:rPr>
          <w:sz w:val="20"/>
        </w:rPr>
      </w:pPr>
      <w:bookmarkStart w:id="3" w:name="_Toc473816950"/>
      <w:r w:rsidRPr="0037773B">
        <w:rPr>
          <w:b/>
          <w:sz w:val="20"/>
        </w:rPr>
        <w:t>Tabela 3</w:t>
      </w:r>
      <w:r w:rsidRPr="0037773B">
        <w:rPr>
          <w:sz w:val="20"/>
        </w:rPr>
        <w:t xml:space="preserve"> – Análise dos Discursos inseridos nas Decisões Procedentes das Apelações Cíveis e Criminais com a Variável Material (Fática).</w:t>
      </w:r>
      <w:bookmarkEnd w:id="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5"/>
        <w:gridCol w:w="2830"/>
        <w:gridCol w:w="2819"/>
      </w:tblGrid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Discurso na linguagem do acórdão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Unidade significativa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73B">
              <w:rPr>
                <w:rFonts w:ascii="Arial" w:hAnsi="Arial" w:cs="Arial"/>
                <w:b/>
                <w:sz w:val="20"/>
                <w:szCs w:val="20"/>
              </w:rPr>
              <w:t>Asserções articuladas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7773B">
              <w:rPr>
                <w:rFonts w:ascii="Arial" w:hAnsi="Arial" w:cs="Arial"/>
                <w:i/>
                <w:sz w:val="18"/>
                <w:szCs w:val="18"/>
              </w:rPr>
              <w:t>1) Constitui</w:t>
            </w:r>
            <w:proofErr w:type="gramEnd"/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 ato ilícito indenizável pelo Estado, por ato praticado em hospital público, consistente na demora para realizar parto de paciente com a bolsa rota, além de não ministrar antibióticos necessários para evitar a contaminação fetal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Demora no atendimento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Negligência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pStyle w:val="PargrafodaLista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>2) “não lhe prestou assistência pós-operatória adequada, a despeito de ter sido insistentemente contatado pelos seus familiares, já que ela apresentava quadro de fortes dores."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Não prestou assistência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Negligência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pStyle w:val="PargrafodaLista"/>
              <w:ind w:left="2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>3)"Sustenta que, mesmo depois dessa segunda cirurgia de revisão e diante do persistente quadro de dor o réu continuou a lhe negar qualquer assistência pós-operatória”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Não prestou assistência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Negligência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4)" A leitura apurada do diário de saúde, permite concluir, mesmo sem auxílio de perícia judicial, que durante aqueles dias de internação, a equipe médica constatou que o quadro de saúde da autora era grave e decorria da infecção desde o primeiro procedimento cirúrgico. 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Agravamento do quadro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Imprudência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ind w:left="2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sz w:val="18"/>
                <w:szCs w:val="18"/>
              </w:rPr>
              <w:t xml:space="preserve">5)"[...] assevera que, ainda na rede pública, não conseguiu ser </w:t>
            </w:r>
            <w:r w:rsidRPr="0037773B">
              <w:rPr>
                <w:rFonts w:ascii="Arial" w:hAnsi="Arial" w:cs="Arial"/>
                <w:i/>
                <w:sz w:val="18"/>
                <w:szCs w:val="18"/>
              </w:rPr>
              <w:lastRenderedPageBreak/>
              <w:t>submetida à cirurgia recomendada, ante a dificuldade de aquisição de material e anestesia [...]"</w:t>
            </w:r>
          </w:p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lastRenderedPageBreak/>
              <w:t>Falta de material para cirurgia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Negligência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7773B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6) A Autora deu à luz a uma criança que veio a óbito. Alegam também que o médico acompanhou o parto de outras quatro parturientes ao mesmo tempo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Excesso de trabalho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3B">
              <w:rPr>
                <w:rFonts w:ascii="Arial" w:hAnsi="Arial" w:cs="Arial"/>
                <w:sz w:val="18"/>
                <w:szCs w:val="18"/>
              </w:rPr>
              <w:t>Imprudência</w:t>
            </w:r>
          </w:p>
        </w:tc>
      </w:tr>
      <w:tr w:rsidR="00AF24D8" w:rsidRPr="0037773B" w:rsidTr="00AF24D8">
        <w:tc>
          <w:tcPr>
            <w:tcW w:w="2845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7)</w:t>
            </w:r>
            <w:r w:rsidRPr="003777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773B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Menor de 4 anos descreve o sofrimento durante quase um mês de internação, necessidade de uma segunda cirurgia para limpeza de órgãos, sequela estética, vergonha do corpo e pânico.</w:t>
            </w:r>
          </w:p>
        </w:tc>
        <w:tc>
          <w:tcPr>
            <w:tcW w:w="2830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Muito tempo de internação</w:t>
            </w:r>
          </w:p>
        </w:tc>
        <w:tc>
          <w:tcPr>
            <w:tcW w:w="2819" w:type="dxa"/>
          </w:tcPr>
          <w:p w:rsidR="00AF24D8" w:rsidRPr="0037773B" w:rsidRDefault="00AF24D8" w:rsidP="00575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73B">
              <w:rPr>
                <w:rFonts w:ascii="Arial" w:hAnsi="Arial" w:cs="Arial"/>
                <w:sz w:val="20"/>
                <w:szCs w:val="20"/>
              </w:rPr>
              <w:t>Imperícia</w:t>
            </w:r>
          </w:p>
        </w:tc>
      </w:tr>
    </w:tbl>
    <w:p w:rsidR="00AF24D8" w:rsidRPr="0037773B" w:rsidRDefault="00AF24D8" w:rsidP="00AF24D8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37773B">
        <w:rPr>
          <w:rFonts w:ascii="Arial" w:hAnsi="Arial" w:cs="Arial"/>
          <w:sz w:val="20"/>
          <w:szCs w:val="18"/>
        </w:rPr>
        <w:t>Fonte:</w:t>
      </w:r>
      <w:r w:rsidRPr="0037773B">
        <w:rPr>
          <w:rFonts w:ascii="Arial" w:hAnsi="Arial" w:cs="Arial"/>
          <w:sz w:val="28"/>
          <w:szCs w:val="24"/>
        </w:rPr>
        <w:t xml:space="preserve"> </w:t>
      </w:r>
      <w:r w:rsidRPr="0037773B">
        <w:rPr>
          <w:rFonts w:ascii="Arial" w:hAnsi="Arial" w:cs="Arial"/>
          <w:sz w:val="20"/>
          <w:szCs w:val="18"/>
        </w:rPr>
        <w:t>Fragmentos das decisões dos processos do TJDFT</w:t>
      </w:r>
    </w:p>
    <w:p w:rsidR="00AF24D8" w:rsidRDefault="00AF24D8" w:rsidP="00AF24D8"/>
    <w:p w:rsidR="00AF24D8" w:rsidRDefault="00AF24D8" w:rsidP="00AF24D8"/>
    <w:p w:rsidR="00AF24D8" w:rsidRDefault="00AF24D8" w:rsidP="00AF24D8"/>
    <w:p w:rsidR="00AF24D8" w:rsidRDefault="00AF24D8" w:rsidP="00AF24D8"/>
    <w:p w:rsidR="00AF24D8" w:rsidRDefault="00AF24D8" w:rsidP="00AF24D8"/>
    <w:p w:rsidR="00AF24D8" w:rsidRDefault="00AF24D8" w:rsidP="00AF24D8"/>
    <w:p w:rsidR="00AF24D8" w:rsidRPr="00AF24D8" w:rsidRDefault="00AF24D8" w:rsidP="00AF24D8"/>
    <w:sectPr w:rsidR="00AF24D8" w:rsidRPr="00AF2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95412"/>
    <w:multiLevelType w:val="hybridMultilevel"/>
    <w:tmpl w:val="57D4BFD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3B16"/>
    <w:multiLevelType w:val="hybridMultilevel"/>
    <w:tmpl w:val="C9BCC0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D8"/>
    <w:rsid w:val="0025350F"/>
    <w:rsid w:val="00A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19F57-93A6-4AFA-89C3-91316E6D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SemEspaamento"/>
    <w:next w:val="SemEspaamento"/>
    <w:link w:val="FIGURAChar"/>
    <w:qFormat/>
    <w:rsid w:val="00AF24D8"/>
    <w:pPr>
      <w:spacing w:line="360" w:lineRule="auto"/>
      <w:ind w:firstLine="709"/>
      <w:jc w:val="both"/>
    </w:pPr>
    <w:rPr>
      <w:rFonts w:ascii="Arial" w:hAnsi="Arial" w:cs="Arial"/>
      <w:sz w:val="24"/>
      <w:szCs w:val="24"/>
      <w:lang w:eastAsia="pt-BR"/>
    </w:rPr>
  </w:style>
  <w:style w:type="character" w:customStyle="1" w:styleId="FIGURAChar">
    <w:name w:val="FIGURA Char"/>
    <w:basedOn w:val="Fontepargpadro"/>
    <w:link w:val="FIGURA"/>
    <w:rsid w:val="00AF24D8"/>
    <w:rPr>
      <w:rFonts w:ascii="Arial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AF24D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F24D8"/>
    <w:pPr>
      <w:ind w:left="720"/>
      <w:contextualSpacing/>
    </w:pPr>
  </w:style>
  <w:style w:type="table" w:styleId="Tabelacomgrade">
    <w:name w:val="Table Grid"/>
    <w:basedOn w:val="Tabelanormal"/>
    <w:uiPriority w:val="39"/>
    <w:rsid w:val="00AF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link w:val="TABELAChar"/>
    <w:qFormat/>
    <w:rsid w:val="00AF24D8"/>
    <w:pPr>
      <w:spacing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TABELAChar">
    <w:name w:val="TABELA Char"/>
    <w:basedOn w:val="Fontepargpadro"/>
    <w:link w:val="TABELA"/>
    <w:rsid w:val="00AF24D8"/>
    <w:rPr>
      <w:rFonts w:ascii="Arial" w:eastAsia="Times New Roman" w:hAnsi="Arial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MESTRADO%20PROF%20-%20ERRO%20M&#201;DICO\DISSERTA&#199;&#195;O\Resultado%20-%20Bases%20de%20Consulta%20TJDFT%20(Recuperado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Tipo</a:t>
            </a:r>
            <a:r>
              <a:rPr lang="pt-BR" baseline="0"/>
              <a:t> de requerido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96-4361-B6F7-9611A91E0D0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96-4361-B6F7-9611A91E0D09}"/>
              </c:ext>
            </c:extLst>
          </c:dPt>
          <c:dPt>
            <c:idx val="2"/>
            <c:bubble3D val="0"/>
            <c:spPr>
              <a:solidFill>
                <a:schemeClr val="accent5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96-4361-B6F7-9611A91E0D09}"/>
              </c:ext>
            </c:extLst>
          </c:dPt>
          <c:cat>
            <c:strRef>
              <c:f>GRÁFICOS!$B$24:$B$26</c:f>
              <c:strCache>
                <c:ptCount val="3"/>
                <c:pt idx="0">
                  <c:v>INDIVIDUAL</c:v>
                </c:pt>
                <c:pt idx="1">
                  <c:v>PÚBLICO</c:v>
                </c:pt>
                <c:pt idx="2">
                  <c:v>PRIVADO</c:v>
                </c:pt>
              </c:strCache>
            </c:strRef>
          </c:cat>
          <c:val>
            <c:numRef>
              <c:f>GRÁFICOS!$C$24:$C$26</c:f>
              <c:numCache>
                <c:formatCode>General</c:formatCode>
                <c:ptCount val="3"/>
                <c:pt idx="0">
                  <c:v>10</c:v>
                </c:pt>
                <c:pt idx="1">
                  <c:v>89</c:v>
                </c:pt>
                <c:pt idx="2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96-4361-B6F7-9611A91E0D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Rodrigues Gomes</dc:creator>
  <cp:keywords/>
  <dc:description/>
  <cp:lastModifiedBy>Talita Rodrigues Gomes</cp:lastModifiedBy>
  <cp:revision>1</cp:revision>
  <dcterms:created xsi:type="dcterms:W3CDTF">2017-11-10T17:53:00Z</dcterms:created>
  <dcterms:modified xsi:type="dcterms:W3CDTF">2017-11-10T18:00:00Z</dcterms:modified>
</cp:coreProperties>
</file>