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D8" w:rsidRPr="0037773B" w:rsidRDefault="00AF24D8" w:rsidP="00AF24D8">
      <w:pPr>
        <w:jc w:val="both"/>
        <w:rPr>
          <w:rFonts w:ascii="Arial" w:hAnsi="Arial" w:cs="Arial"/>
          <w:b/>
          <w:sz w:val="24"/>
          <w:szCs w:val="28"/>
        </w:rPr>
      </w:pPr>
      <w:r w:rsidRPr="0037773B">
        <w:rPr>
          <w:rFonts w:ascii="Arial" w:hAnsi="Arial" w:cs="Arial"/>
          <w:b/>
          <w:sz w:val="24"/>
          <w:szCs w:val="28"/>
        </w:rPr>
        <w:t>Análise Idiossincrática dos Discursos proferidos nas decisões judiciais sobre Erro Médico no TJDFT: um estudo qualitativo.</w:t>
      </w:r>
    </w:p>
    <w:p w:rsidR="00AF24D8" w:rsidRDefault="00AF24D8" w:rsidP="00AF24D8">
      <w:r>
        <w:t>GRÁFICOS</w:t>
      </w:r>
      <w:bookmarkStart w:id="0" w:name="_GoBack"/>
      <w:bookmarkEnd w:id="0"/>
    </w:p>
    <w:p w:rsidR="00AF24D8" w:rsidRPr="0037773B" w:rsidRDefault="00AF24D8" w:rsidP="00AF24D8">
      <w:pPr>
        <w:pStyle w:val="FIGURA"/>
        <w:rPr>
          <w:sz w:val="20"/>
        </w:rPr>
      </w:pPr>
      <w:r w:rsidRPr="0037773B">
        <w:rPr>
          <w:sz w:val="20"/>
        </w:rPr>
        <w:t>Figura 1 Tipos de requeridos nos processos entre 2013-2015 no TJDFT sobre erro médico. (Fonte: TJDFT)</w:t>
      </w:r>
    </w:p>
    <w:p w:rsidR="00AF24D8" w:rsidRDefault="00AF24D8" w:rsidP="00AF24D8">
      <w:pPr>
        <w:rPr>
          <w:sz w:val="20"/>
        </w:rPr>
      </w:pPr>
      <w:r w:rsidRPr="0037773B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61DF48C7" wp14:editId="4DF7EC69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4157980" cy="2059305"/>
            <wp:effectExtent l="0" t="0" r="13970" b="17145"/>
            <wp:wrapTopAndBottom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473816679"/>
    </w:p>
    <w:bookmarkEnd w:id="1"/>
    <w:p w:rsidR="00AF24D8" w:rsidRDefault="00AF24D8" w:rsidP="00AF24D8"/>
    <w:p w:rsidR="00AF24D8" w:rsidRPr="0037773B" w:rsidRDefault="00AF24D8" w:rsidP="00AF24D8">
      <w:pPr>
        <w:pStyle w:val="TABELA"/>
        <w:jc w:val="both"/>
        <w:rPr>
          <w:sz w:val="20"/>
        </w:rPr>
      </w:pPr>
      <w:r w:rsidRPr="0037773B">
        <w:rPr>
          <w:sz w:val="20"/>
        </w:rPr>
        <w:t>Tabela 1 – Análise dos Discursos inseridos nas Decisões Procedentes das Apelações Cíveis e Criminais com a Variável Normativa.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47"/>
        <w:gridCol w:w="2821"/>
        <w:gridCol w:w="2826"/>
      </w:tblGrid>
      <w:tr w:rsidR="00AF24D8" w:rsidRPr="0037773B" w:rsidTr="00AF24D8">
        <w:tc>
          <w:tcPr>
            <w:tcW w:w="2847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73B">
              <w:rPr>
                <w:rFonts w:ascii="Arial" w:hAnsi="Arial" w:cs="Arial"/>
                <w:b/>
                <w:sz w:val="20"/>
                <w:szCs w:val="20"/>
              </w:rPr>
              <w:t>Discurso na linguagem do acórdão</w:t>
            </w:r>
          </w:p>
        </w:tc>
        <w:tc>
          <w:tcPr>
            <w:tcW w:w="2821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73B">
              <w:rPr>
                <w:rFonts w:ascii="Arial" w:hAnsi="Arial" w:cs="Arial"/>
                <w:b/>
                <w:sz w:val="20"/>
                <w:szCs w:val="20"/>
              </w:rPr>
              <w:t>Unidade significativa</w:t>
            </w:r>
          </w:p>
        </w:tc>
        <w:tc>
          <w:tcPr>
            <w:tcW w:w="2826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73B">
              <w:rPr>
                <w:rFonts w:ascii="Arial" w:hAnsi="Arial" w:cs="Arial"/>
                <w:b/>
                <w:sz w:val="20"/>
                <w:szCs w:val="20"/>
              </w:rPr>
              <w:t>Asserções articuladas</w:t>
            </w:r>
          </w:p>
        </w:tc>
      </w:tr>
      <w:tr w:rsidR="00AF24D8" w:rsidRPr="0037773B" w:rsidTr="00AF24D8">
        <w:tc>
          <w:tcPr>
            <w:tcW w:w="2847" w:type="dxa"/>
          </w:tcPr>
          <w:p w:rsidR="00AF24D8" w:rsidRPr="0037773B" w:rsidRDefault="00AF24D8" w:rsidP="00AF24D8">
            <w:pPr>
              <w:pStyle w:val="PargrafodaLista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7773B">
              <w:rPr>
                <w:rFonts w:ascii="Arial" w:hAnsi="Arial" w:cs="Arial"/>
                <w:i/>
                <w:sz w:val="18"/>
                <w:szCs w:val="18"/>
              </w:rPr>
              <w:t>A saúde é direito de todos e dever do Estado, garantido mediante políticas sociais e econômicas que visem à redução do risco de doença e de outros agravos</w:t>
            </w:r>
          </w:p>
        </w:tc>
        <w:tc>
          <w:tcPr>
            <w:tcW w:w="2821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73B">
              <w:rPr>
                <w:rFonts w:ascii="Arial" w:hAnsi="Arial" w:cs="Arial"/>
                <w:sz w:val="20"/>
                <w:szCs w:val="20"/>
              </w:rPr>
              <w:t>Citação ao art.196 CF/88</w:t>
            </w:r>
          </w:p>
        </w:tc>
        <w:tc>
          <w:tcPr>
            <w:tcW w:w="2826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73B">
              <w:rPr>
                <w:rFonts w:ascii="Arial" w:hAnsi="Arial" w:cs="Arial"/>
                <w:sz w:val="20"/>
                <w:szCs w:val="20"/>
              </w:rPr>
              <w:t>O cidadão tem direito a saúde</w:t>
            </w:r>
          </w:p>
        </w:tc>
      </w:tr>
      <w:tr w:rsidR="00AF24D8" w:rsidRPr="0037773B" w:rsidTr="00AF24D8">
        <w:tc>
          <w:tcPr>
            <w:tcW w:w="2847" w:type="dxa"/>
          </w:tcPr>
          <w:p w:rsidR="00AF24D8" w:rsidRPr="0037773B" w:rsidRDefault="00AF24D8" w:rsidP="00AF24D8">
            <w:pPr>
              <w:pStyle w:val="PargrafodaLista"/>
              <w:numPr>
                <w:ilvl w:val="0"/>
                <w:numId w:val="1"/>
              </w:numPr>
              <w:ind w:left="22" w:firstLine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73B">
              <w:rPr>
                <w:rFonts w:ascii="Arial" w:hAnsi="Arial" w:cs="Arial"/>
                <w:i/>
                <w:sz w:val="18"/>
                <w:szCs w:val="18"/>
              </w:rPr>
              <w:t xml:space="preserve">"[...] do ponto de vista da execução de políticas públicas para o fim de tornar efetivos tais direitos subjetivos constitucionais, foram previstas as regras dos </w:t>
            </w:r>
            <w:proofErr w:type="spellStart"/>
            <w:r w:rsidRPr="0037773B">
              <w:rPr>
                <w:rFonts w:ascii="Arial" w:hAnsi="Arial" w:cs="Arial"/>
                <w:b/>
                <w:i/>
                <w:sz w:val="18"/>
                <w:szCs w:val="18"/>
              </w:rPr>
              <w:t>arts</w:t>
            </w:r>
            <w:proofErr w:type="spellEnd"/>
            <w:r w:rsidRPr="0037773B">
              <w:rPr>
                <w:rFonts w:ascii="Arial" w:hAnsi="Arial" w:cs="Arial"/>
                <w:b/>
                <w:i/>
                <w:sz w:val="18"/>
                <w:szCs w:val="18"/>
              </w:rPr>
              <w:t>. 196, 197 e 198 da Constituição Federal,</w:t>
            </w:r>
          </w:p>
        </w:tc>
        <w:tc>
          <w:tcPr>
            <w:tcW w:w="2821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73B">
              <w:rPr>
                <w:rFonts w:ascii="Arial" w:hAnsi="Arial" w:cs="Arial"/>
                <w:sz w:val="20"/>
                <w:szCs w:val="20"/>
              </w:rPr>
              <w:t>Citação ao art. 196 CF/88</w:t>
            </w:r>
          </w:p>
        </w:tc>
        <w:tc>
          <w:tcPr>
            <w:tcW w:w="2826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73B">
              <w:rPr>
                <w:rFonts w:ascii="Arial" w:hAnsi="Arial" w:cs="Arial"/>
                <w:sz w:val="20"/>
                <w:szCs w:val="20"/>
              </w:rPr>
              <w:t>O cidadão tem direito à saúde</w:t>
            </w:r>
          </w:p>
        </w:tc>
      </w:tr>
      <w:tr w:rsidR="00AF24D8" w:rsidRPr="0037773B" w:rsidTr="00AF24D8">
        <w:tc>
          <w:tcPr>
            <w:tcW w:w="2847" w:type="dxa"/>
          </w:tcPr>
          <w:p w:rsidR="00AF24D8" w:rsidRPr="0037773B" w:rsidRDefault="00AF24D8" w:rsidP="00AF24D8">
            <w:pPr>
              <w:pStyle w:val="PargrafodaLista"/>
              <w:numPr>
                <w:ilvl w:val="0"/>
                <w:numId w:val="1"/>
              </w:numPr>
              <w:ind w:left="22" w:firstLine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73B">
              <w:rPr>
                <w:rFonts w:ascii="Arial" w:hAnsi="Arial" w:cs="Arial"/>
                <w:i/>
                <w:sz w:val="18"/>
                <w:szCs w:val="18"/>
              </w:rPr>
              <w:t xml:space="preserve">É o que dispõe o </w:t>
            </w:r>
            <w:r w:rsidRPr="0037773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§4º do artigo 14 do CDC, </w:t>
            </w:r>
            <w:r w:rsidRPr="0037773B">
              <w:rPr>
                <w:rFonts w:ascii="Arial" w:hAnsi="Arial" w:cs="Arial"/>
                <w:i/>
                <w:sz w:val="18"/>
                <w:szCs w:val="18"/>
              </w:rPr>
              <w:t xml:space="preserve">in </w:t>
            </w:r>
            <w:proofErr w:type="spellStart"/>
            <w:r w:rsidRPr="0037773B">
              <w:rPr>
                <w:rFonts w:ascii="Arial" w:hAnsi="Arial" w:cs="Arial"/>
                <w:i/>
                <w:sz w:val="18"/>
                <w:szCs w:val="18"/>
              </w:rPr>
              <w:t>verbis</w:t>
            </w:r>
            <w:proofErr w:type="spellEnd"/>
            <w:r w:rsidRPr="0037773B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2821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73B">
              <w:rPr>
                <w:rFonts w:ascii="Arial" w:hAnsi="Arial" w:cs="Arial"/>
                <w:sz w:val="20"/>
                <w:szCs w:val="20"/>
              </w:rPr>
              <w:t>Citação ao Código de Defesa do Consumidor</w:t>
            </w:r>
          </w:p>
        </w:tc>
        <w:tc>
          <w:tcPr>
            <w:tcW w:w="2826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73B">
              <w:rPr>
                <w:rFonts w:ascii="Arial" w:hAnsi="Arial" w:cs="Arial"/>
                <w:sz w:val="20"/>
                <w:szCs w:val="20"/>
              </w:rPr>
              <w:t>O consumidor tem direito a prestação de serviços</w:t>
            </w:r>
          </w:p>
        </w:tc>
      </w:tr>
      <w:tr w:rsidR="00AF24D8" w:rsidRPr="0037773B" w:rsidTr="00AF24D8">
        <w:tc>
          <w:tcPr>
            <w:tcW w:w="2847" w:type="dxa"/>
          </w:tcPr>
          <w:p w:rsidR="00AF24D8" w:rsidRPr="0037773B" w:rsidRDefault="00AF24D8" w:rsidP="00AF24D8">
            <w:pPr>
              <w:pStyle w:val="PargrafodaLista"/>
              <w:numPr>
                <w:ilvl w:val="0"/>
                <w:numId w:val="1"/>
              </w:numPr>
              <w:ind w:left="0" w:firstLine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73B">
              <w:rPr>
                <w:rFonts w:ascii="Arial" w:hAnsi="Arial" w:cs="Arial"/>
                <w:i/>
                <w:sz w:val="18"/>
                <w:szCs w:val="18"/>
              </w:rPr>
              <w:t xml:space="preserve">" É o que se extrai do disposto no artigo 186 do Código Civil: "Aquele </w:t>
            </w:r>
            <w:proofErr w:type="gramStart"/>
            <w:r w:rsidRPr="0037773B">
              <w:rPr>
                <w:rFonts w:ascii="Arial" w:hAnsi="Arial" w:cs="Arial"/>
                <w:i/>
                <w:sz w:val="18"/>
                <w:szCs w:val="18"/>
              </w:rPr>
              <w:t>que....</w:t>
            </w:r>
            <w:proofErr w:type="gramEnd"/>
            <w:r w:rsidRPr="0037773B">
              <w:rPr>
                <w:rFonts w:ascii="Arial" w:hAnsi="Arial" w:cs="Arial"/>
                <w:i/>
                <w:sz w:val="18"/>
                <w:szCs w:val="18"/>
              </w:rPr>
              <w:t>”</w:t>
            </w:r>
          </w:p>
        </w:tc>
        <w:tc>
          <w:tcPr>
            <w:tcW w:w="2821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73B">
              <w:rPr>
                <w:rFonts w:ascii="Arial" w:hAnsi="Arial" w:cs="Arial"/>
                <w:sz w:val="20"/>
                <w:szCs w:val="20"/>
              </w:rPr>
              <w:t>Citação ao Código Civil Brasileiro</w:t>
            </w:r>
          </w:p>
        </w:tc>
        <w:tc>
          <w:tcPr>
            <w:tcW w:w="2826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73B">
              <w:rPr>
                <w:rFonts w:ascii="Arial" w:hAnsi="Arial" w:cs="Arial"/>
                <w:sz w:val="20"/>
                <w:szCs w:val="20"/>
              </w:rPr>
              <w:t>O cidadão tem direitos.</w:t>
            </w:r>
          </w:p>
        </w:tc>
      </w:tr>
      <w:tr w:rsidR="00AF24D8" w:rsidRPr="0037773B" w:rsidTr="00AF24D8">
        <w:tc>
          <w:tcPr>
            <w:tcW w:w="2847" w:type="dxa"/>
          </w:tcPr>
          <w:p w:rsidR="00AF24D8" w:rsidRPr="0037773B" w:rsidRDefault="00AF24D8" w:rsidP="00AF24D8">
            <w:pPr>
              <w:pStyle w:val="PargrafodaLista"/>
              <w:numPr>
                <w:ilvl w:val="0"/>
                <w:numId w:val="1"/>
              </w:numPr>
              <w:ind w:left="0" w:firstLine="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73B">
              <w:rPr>
                <w:rFonts w:ascii="Arial" w:hAnsi="Arial" w:cs="Arial"/>
                <w:i/>
                <w:sz w:val="18"/>
                <w:szCs w:val="18"/>
              </w:rPr>
              <w:t xml:space="preserve">“...a culpa do profissional responsável pelo procedimento, conforme a teoria de responsabilidade subjetiva dos profissionais liberais abrigada pela </w:t>
            </w:r>
            <w:r w:rsidRPr="0037773B">
              <w:rPr>
                <w:rFonts w:ascii="Arial" w:hAnsi="Arial" w:cs="Arial"/>
                <w:b/>
                <w:i/>
                <w:sz w:val="18"/>
                <w:szCs w:val="18"/>
              </w:rPr>
              <w:t>legislação consumerista”</w:t>
            </w:r>
          </w:p>
        </w:tc>
        <w:tc>
          <w:tcPr>
            <w:tcW w:w="2821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73B">
              <w:rPr>
                <w:rFonts w:ascii="Arial" w:hAnsi="Arial" w:cs="Arial"/>
                <w:sz w:val="20"/>
                <w:szCs w:val="20"/>
              </w:rPr>
              <w:t>Citação ao Código de Defesa do Consumidor</w:t>
            </w:r>
          </w:p>
        </w:tc>
        <w:tc>
          <w:tcPr>
            <w:tcW w:w="2826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73B">
              <w:rPr>
                <w:rFonts w:ascii="Arial" w:hAnsi="Arial" w:cs="Arial"/>
                <w:sz w:val="20"/>
                <w:szCs w:val="20"/>
              </w:rPr>
              <w:t>O consumidor mantém uma relação consumerista com o prestado do serviço de saúde</w:t>
            </w:r>
          </w:p>
        </w:tc>
      </w:tr>
      <w:tr w:rsidR="00AF24D8" w:rsidRPr="0037773B" w:rsidTr="00AF24D8">
        <w:tc>
          <w:tcPr>
            <w:tcW w:w="2847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73B">
              <w:rPr>
                <w:rFonts w:ascii="Arial" w:hAnsi="Arial" w:cs="Arial"/>
                <w:sz w:val="18"/>
                <w:szCs w:val="18"/>
              </w:rPr>
              <w:t>6)</w:t>
            </w:r>
            <w:r w:rsidRPr="0037773B">
              <w:rPr>
                <w:rFonts w:ascii="Arial" w:hAnsi="Arial" w:cs="Arial"/>
                <w:i/>
                <w:sz w:val="18"/>
                <w:szCs w:val="18"/>
              </w:rPr>
              <w:t xml:space="preserve"> "[...] com o intento de regulamentação da matéria, a Lei nº 8.080, de 19 de setembro de 1990</w:t>
            </w:r>
            <w:r w:rsidRPr="0037773B">
              <w:rPr>
                <w:rFonts w:ascii="Arial" w:hAnsi="Arial" w:cs="Arial"/>
                <w:i/>
                <w:sz w:val="24"/>
                <w:szCs w:val="24"/>
              </w:rPr>
              <w:t>”</w:t>
            </w:r>
          </w:p>
        </w:tc>
        <w:tc>
          <w:tcPr>
            <w:tcW w:w="2821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73B">
              <w:rPr>
                <w:rFonts w:ascii="Arial" w:hAnsi="Arial" w:cs="Arial"/>
                <w:sz w:val="20"/>
                <w:szCs w:val="20"/>
              </w:rPr>
              <w:t>Citação a Lei Federal 8080/90</w:t>
            </w:r>
          </w:p>
        </w:tc>
        <w:tc>
          <w:tcPr>
            <w:tcW w:w="2826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73B">
              <w:rPr>
                <w:rFonts w:ascii="Arial" w:hAnsi="Arial" w:cs="Arial"/>
                <w:sz w:val="20"/>
                <w:szCs w:val="20"/>
              </w:rPr>
              <w:t>O cidadão amparado pela lei</w:t>
            </w:r>
          </w:p>
        </w:tc>
      </w:tr>
      <w:tr w:rsidR="00AF24D8" w:rsidRPr="0037773B" w:rsidTr="00AF24D8">
        <w:tc>
          <w:tcPr>
            <w:tcW w:w="2847" w:type="dxa"/>
          </w:tcPr>
          <w:p w:rsidR="00AF24D8" w:rsidRPr="0037773B" w:rsidRDefault="00AF24D8" w:rsidP="00575112">
            <w:pPr>
              <w:pStyle w:val="PargrafodaLista"/>
              <w:ind w:left="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73B">
              <w:rPr>
                <w:rFonts w:ascii="Arial" w:hAnsi="Arial" w:cs="Arial"/>
                <w:i/>
                <w:sz w:val="18"/>
                <w:szCs w:val="18"/>
              </w:rPr>
              <w:t xml:space="preserve">7)"[...] por outro lado, o Código de Ética Médica (Resolução CFM nº 1.246/88, de 08.01.88, </w:t>
            </w:r>
            <w:r w:rsidRPr="0037773B">
              <w:rPr>
                <w:rFonts w:ascii="Arial" w:hAnsi="Arial" w:cs="Arial"/>
                <w:i/>
                <w:sz w:val="18"/>
                <w:szCs w:val="18"/>
              </w:rPr>
              <w:lastRenderedPageBreak/>
              <w:t>D.O.U 26.01.88), estabelece os seguintes preceitos deontológico</w:t>
            </w:r>
          </w:p>
        </w:tc>
        <w:tc>
          <w:tcPr>
            <w:tcW w:w="2821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73B">
              <w:rPr>
                <w:rFonts w:ascii="Arial" w:hAnsi="Arial" w:cs="Arial"/>
                <w:sz w:val="20"/>
                <w:szCs w:val="20"/>
              </w:rPr>
              <w:lastRenderedPageBreak/>
              <w:t>Citação ao Código de Ética Médica</w:t>
            </w:r>
          </w:p>
        </w:tc>
        <w:tc>
          <w:tcPr>
            <w:tcW w:w="2826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73B">
              <w:rPr>
                <w:rFonts w:ascii="Arial" w:hAnsi="Arial" w:cs="Arial"/>
                <w:sz w:val="20"/>
                <w:szCs w:val="20"/>
              </w:rPr>
              <w:t>O médico deve prestar serviços de qualidade</w:t>
            </w:r>
          </w:p>
        </w:tc>
      </w:tr>
    </w:tbl>
    <w:p w:rsidR="00AF24D8" w:rsidRPr="0037773B" w:rsidRDefault="00AF24D8" w:rsidP="00AF24D8">
      <w:pPr>
        <w:jc w:val="both"/>
        <w:rPr>
          <w:rFonts w:ascii="Arial" w:hAnsi="Arial" w:cs="Arial"/>
          <w:sz w:val="20"/>
          <w:szCs w:val="18"/>
        </w:rPr>
      </w:pPr>
      <w:r w:rsidRPr="0037773B">
        <w:rPr>
          <w:rFonts w:ascii="Arial" w:hAnsi="Arial" w:cs="Arial"/>
          <w:sz w:val="20"/>
          <w:szCs w:val="18"/>
        </w:rPr>
        <w:t>Fonte: Fragmentos das decisões dos processos do TJDFT</w:t>
      </w:r>
    </w:p>
    <w:p w:rsidR="00AF24D8" w:rsidRDefault="00AF24D8" w:rsidP="00AF24D8">
      <w:pPr>
        <w:pStyle w:val="TABELA"/>
        <w:jc w:val="both"/>
        <w:rPr>
          <w:b/>
          <w:sz w:val="20"/>
        </w:rPr>
      </w:pPr>
      <w:bookmarkStart w:id="2" w:name="_Toc473816949"/>
    </w:p>
    <w:p w:rsidR="00AF24D8" w:rsidRPr="0037773B" w:rsidRDefault="00AF24D8" w:rsidP="00AF24D8">
      <w:pPr>
        <w:pStyle w:val="TABELA"/>
        <w:jc w:val="both"/>
        <w:rPr>
          <w:sz w:val="20"/>
        </w:rPr>
      </w:pPr>
      <w:r w:rsidRPr="0037773B">
        <w:rPr>
          <w:b/>
          <w:sz w:val="20"/>
        </w:rPr>
        <w:t>Tabela 2</w:t>
      </w:r>
      <w:r w:rsidRPr="0037773B">
        <w:rPr>
          <w:sz w:val="20"/>
        </w:rPr>
        <w:t xml:space="preserve"> – Análise dos Discursos inseridos nas Decisões Procedentes das Apelações Cíveis e Criminais com a Variável Processual.</w:t>
      </w:r>
      <w:bookmarkEnd w:id="2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25"/>
      </w:tblGrid>
      <w:tr w:rsidR="00AF24D8" w:rsidRPr="0037773B" w:rsidTr="00AF24D8">
        <w:tc>
          <w:tcPr>
            <w:tcW w:w="2834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73B">
              <w:rPr>
                <w:rFonts w:ascii="Arial" w:hAnsi="Arial" w:cs="Arial"/>
                <w:b/>
                <w:sz w:val="20"/>
                <w:szCs w:val="20"/>
              </w:rPr>
              <w:t>Discurso na linguagem do acórdão</w:t>
            </w:r>
          </w:p>
        </w:tc>
        <w:tc>
          <w:tcPr>
            <w:tcW w:w="2835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73B">
              <w:rPr>
                <w:rFonts w:ascii="Arial" w:hAnsi="Arial" w:cs="Arial"/>
                <w:b/>
                <w:sz w:val="20"/>
                <w:szCs w:val="20"/>
              </w:rPr>
              <w:t>Unidade significativa</w:t>
            </w:r>
          </w:p>
        </w:tc>
        <w:tc>
          <w:tcPr>
            <w:tcW w:w="2825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73B">
              <w:rPr>
                <w:rFonts w:ascii="Arial" w:hAnsi="Arial" w:cs="Arial"/>
                <w:b/>
                <w:sz w:val="20"/>
                <w:szCs w:val="20"/>
              </w:rPr>
              <w:t>Asserções articuladas</w:t>
            </w:r>
          </w:p>
        </w:tc>
      </w:tr>
      <w:tr w:rsidR="00AF24D8" w:rsidRPr="0037773B" w:rsidTr="00AF24D8">
        <w:tc>
          <w:tcPr>
            <w:tcW w:w="2834" w:type="dxa"/>
          </w:tcPr>
          <w:p w:rsidR="00AF24D8" w:rsidRPr="0037773B" w:rsidRDefault="00AF24D8" w:rsidP="00AF24D8">
            <w:pPr>
              <w:pStyle w:val="PargrafodaLista"/>
              <w:numPr>
                <w:ilvl w:val="0"/>
                <w:numId w:val="2"/>
              </w:numPr>
              <w:ind w:left="22" w:firstLine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73B">
              <w:rPr>
                <w:rFonts w:ascii="Arial" w:hAnsi="Arial" w:cs="Arial"/>
                <w:sz w:val="20"/>
                <w:szCs w:val="20"/>
              </w:rPr>
              <w:t>No momento processual oportuno, formulou pedido de produção de prova pericial, o qual foi indeferido.</w:t>
            </w:r>
          </w:p>
        </w:tc>
        <w:tc>
          <w:tcPr>
            <w:tcW w:w="2835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73B">
              <w:rPr>
                <w:rFonts w:ascii="Arial" w:hAnsi="Arial" w:cs="Arial"/>
                <w:sz w:val="20"/>
                <w:szCs w:val="20"/>
              </w:rPr>
              <w:t>Violação do CPC</w:t>
            </w:r>
          </w:p>
        </w:tc>
        <w:tc>
          <w:tcPr>
            <w:tcW w:w="2825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73B">
              <w:rPr>
                <w:rFonts w:ascii="Arial" w:hAnsi="Arial" w:cs="Arial"/>
                <w:sz w:val="20"/>
                <w:szCs w:val="20"/>
              </w:rPr>
              <w:t xml:space="preserve">Prova pericial </w:t>
            </w:r>
          </w:p>
        </w:tc>
      </w:tr>
      <w:tr w:rsidR="00AF24D8" w:rsidRPr="0037773B" w:rsidTr="00AF24D8">
        <w:tc>
          <w:tcPr>
            <w:tcW w:w="2834" w:type="dxa"/>
          </w:tcPr>
          <w:p w:rsidR="00AF24D8" w:rsidRPr="0037773B" w:rsidRDefault="00AF24D8" w:rsidP="00AF24D8">
            <w:pPr>
              <w:pStyle w:val="PargrafodaLista"/>
              <w:numPr>
                <w:ilvl w:val="0"/>
                <w:numId w:val="2"/>
              </w:numPr>
              <w:ind w:left="0" w:firstLine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73B">
              <w:rPr>
                <w:rFonts w:ascii="Arial" w:hAnsi="Arial" w:cs="Arial"/>
                <w:sz w:val="20"/>
                <w:szCs w:val="20"/>
              </w:rPr>
              <w:t>Não logrando a consumidora demonstrar a ocorrência de dano moral passível de reparação, tampouco o nexo de causalidade entre o suposto erro médico e o abalo moral que aquela alegou sofrer</w:t>
            </w:r>
          </w:p>
        </w:tc>
        <w:tc>
          <w:tcPr>
            <w:tcW w:w="2835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73B">
              <w:rPr>
                <w:rFonts w:ascii="Arial" w:hAnsi="Arial" w:cs="Arial"/>
                <w:sz w:val="20"/>
                <w:szCs w:val="20"/>
              </w:rPr>
              <w:t>Nexo Causal não provado</w:t>
            </w:r>
          </w:p>
        </w:tc>
        <w:tc>
          <w:tcPr>
            <w:tcW w:w="2825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73B">
              <w:rPr>
                <w:rFonts w:ascii="Arial" w:hAnsi="Arial" w:cs="Arial"/>
                <w:sz w:val="20"/>
                <w:szCs w:val="20"/>
              </w:rPr>
              <w:t>Nexo Causal</w:t>
            </w:r>
          </w:p>
        </w:tc>
      </w:tr>
    </w:tbl>
    <w:p w:rsidR="00AF24D8" w:rsidRPr="0037773B" w:rsidRDefault="00AF24D8" w:rsidP="00AF24D8">
      <w:pPr>
        <w:jc w:val="both"/>
        <w:rPr>
          <w:rFonts w:ascii="Arial" w:hAnsi="Arial" w:cs="Arial"/>
          <w:sz w:val="28"/>
          <w:szCs w:val="24"/>
        </w:rPr>
      </w:pPr>
      <w:r w:rsidRPr="0037773B">
        <w:rPr>
          <w:rFonts w:ascii="Arial" w:hAnsi="Arial" w:cs="Arial"/>
          <w:sz w:val="20"/>
          <w:szCs w:val="18"/>
        </w:rPr>
        <w:t>Fonte:</w:t>
      </w:r>
      <w:r w:rsidRPr="0037773B">
        <w:rPr>
          <w:rFonts w:ascii="Arial" w:hAnsi="Arial" w:cs="Arial"/>
          <w:sz w:val="28"/>
          <w:szCs w:val="24"/>
        </w:rPr>
        <w:t xml:space="preserve"> </w:t>
      </w:r>
      <w:r w:rsidRPr="0037773B">
        <w:rPr>
          <w:rFonts w:ascii="Arial" w:hAnsi="Arial" w:cs="Arial"/>
          <w:sz w:val="20"/>
          <w:szCs w:val="18"/>
        </w:rPr>
        <w:t>Fragmentos das decisões dos processos do TJDFT</w:t>
      </w:r>
    </w:p>
    <w:p w:rsidR="00AF24D8" w:rsidRDefault="00AF24D8" w:rsidP="00AF24D8"/>
    <w:p w:rsidR="00AF24D8" w:rsidRPr="0037773B" w:rsidRDefault="00AF24D8" w:rsidP="00AF24D8">
      <w:pPr>
        <w:pStyle w:val="TABELA"/>
        <w:jc w:val="both"/>
        <w:rPr>
          <w:sz w:val="20"/>
        </w:rPr>
      </w:pPr>
      <w:bookmarkStart w:id="3" w:name="_Toc473816950"/>
      <w:r w:rsidRPr="0037773B">
        <w:rPr>
          <w:b/>
          <w:sz w:val="20"/>
        </w:rPr>
        <w:t>Tabela 3</w:t>
      </w:r>
      <w:r w:rsidRPr="0037773B">
        <w:rPr>
          <w:sz w:val="20"/>
        </w:rPr>
        <w:t xml:space="preserve"> – Análise dos Discursos inseridos nas Decisões Procedentes das Apelações Cíveis e Criminais com a Variável Material (Fática).</w:t>
      </w:r>
      <w:bookmarkEnd w:id="3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45"/>
        <w:gridCol w:w="2830"/>
        <w:gridCol w:w="2819"/>
      </w:tblGrid>
      <w:tr w:rsidR="00AF24D8" w:rsidRPr="0037773B" w:rsidTr="00AF24D8">
        <w:tc>
          <w:tcPr>
            <w:tcW w:w="2845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73B">
              <w:rPr>
                <w:rFonts w:ascii="Arial" w:hAnsi="Arial" w:cs="Arial"/>
                <w:b/>
                <w:sz w:val="20"/>
                <w:szCs w:val="20"/>
              </w:rPr>
              <w:t>Discurso na linguagem do acórdão</w:t>
            </w:r>
          </w:p>
        </w:tc>
        <w:tc>
          <w:tcPr>
            <w:tcW w:w="2830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73B">
              <w:rPr>
                <w:rFonts w:ascii="Arial" w:hAnsi="Arial" w:cs="Arial"/>
                <w:b/>
                <w:sz w:val="20"/>
                <w:szCs w:val="20"/>
              </w:rPr>
              <w:t>Unidade significativa</w:t>
            </w:r>
          </w:p>
        </w:tc>
        <w:tc>
          <w:tcPr>
            <w:tcW w:w="2819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73B">
              <w:rPr>
                <w:rFonts w:ascii="Arial" w:hAnsi="Arial" w:cs="Arial"/>
                <w:b/>
                <w:sz w:val="20"/>
                <w:szCs w:val="20"/>
              </w:rPr>
              <w:t>Asserções articuladas</w:t>
            </w:r>
          </w:p>
        </w:tc>
      </w:tr>
      <w:tr w:rsidR="00AF24D8" w:rsidRPr="0037773B" w:rsidTr="00AF24D8">
        <w:tc>
          <w:tcPr>
            <w:tcW w:w="2845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37773B">
              <w:rPr>
                <w:rFonts w:ascii="Arial" w:hAnsi="Arial" w:cs="Arial"/>
                <w:i/>
                <w:sz w:val="18"/>
                <w:szCs w:val="18"/>
              </w:rPr>
              <w:t>1) Constitui</w:t>
            </w:r>
            <w:proofErr w:type="gramEnd"/>
            <w:r w:rsidRPr="0037773B">
              <w:rPr>
                <w:rFonts w:ascii="Arial" w:hAnsi="Arial" w:cs="Arial"/>
                <w:i/>
                <w:sz w:val="18"/>
                <w:szCs w:val="18"/>
              </w:rPr>
              <w:t xml:space="preserve"> ato ilícito indenizável pelo Estado, por ato praticado em hospital público, consistente na demora para realizar parto de paciente com a bolsa rota, além de não ministrar antibióticos necessários para evitar a contaminação fetal</w:t>
            </w:r>
          </w:p>
        </w:tc>
        <w:tc>
          <w:tcPr>
            <w:tcW w:w="2830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73B">
              <w:rPr>
                <w:rFonts w:ascii="Arial" w:hAnsi="Arial" w:cs="Arial"/>
                <w:sz w:val="18"/>
                <w:szCs w:val="18"/>
              </w:rPr>
              <w:t>Demora no atendimento</w:t>
            </w:r>
          </w:p>
        </w:tc>
        <w:tc>
          <w:tcPr>
            <w:tcW w:w="2819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73B">
              <w:rPr>
                <w:rFonts w:ascii="Arial" w:hAnsi="Arial" w:cs="Arial"/>
                <w:sz w:val="18"/>
                <w:szCs w:val="18"/>
              </w:rPr>
              <w:t>Negligência</w:t>
            </w:r>
          </w:p>
        </w:tc>
      </w:tr>
      <w:tr w:rsidR="00AF24D8" w:rsidRPr="0037773B" w:rsidTr="00AF24D8">
        <w:tc>
          <w:tcPr>
            <w:tcW w:w="2845" w:type="dxa"/>
          </w:tcPr>
          <w:p w:rsidR="00AF24D8" w:rsidRPr="0037773B" w:rsidRDefault="00AF24D8" w:rsidP="00575112">
            <w:pPr>
              <w:pStyle w:val="PargrafodaLista"/>
              <w:ind w:left="3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7773B">
              <w:rPr>
                <w:rFonts w:ascii="Arial" w:hAnsi="Arial" w:cs="Arial"/>
                <w:i/>
                <w:sz w:val="18"/>
                <w:szCs w:val="18"/>
              </w:rPr>
              <w:t>2) “não lhe prestou assistência pós-operatória adequada, a despeito de ter sido insistentemente contatado pelos seus familiares, já que ela apresentava quadro de fortes dores."</w:t>
            </w:r>
          </w:p>
        </w:tc>
        <w:tc>
          <w:tcPr>
            <w:tcW w:w="2830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73B">
              <w:rPr>
                <w:rFonts w:ascii="Arial" w:hAnsi="Arial" w:cs="Arial"/>
                <w:sz w:val="18"/>
                <w:szCs w:val="18"/>
              </w:rPr>
              <w:t>Não prestou assistência</w:t>
            </w:r>
          </w:p>
        </w:tc>
        <w:tc>
          <w:tcPr>
            <w:tcW w:w="2819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73B">
              <w:rPr>
                <w:rFonts w:ascii="Arial" w:hAnsi="Arial" w:cs="Arial"/>
                <w:sz w:val="18"/>
                <w:szCs w:val="18"/>
              </w:rPr>
              <w:t>Negligência</w:t>
            </w:r>
          </w:p>
        </w:tc>
      </w:tr>
      <w:tr w:rsidR="00AF24D8" w:rsidRPr="0037773B" w:rsidTr="00AF24D8">
        <w:tc>
          <w:tcPr>
            <w:tcW w:w="2845" w:type="dxa"/>
          </w:tcPr>
          <w:p w:rsidR="00AF24D8" w:rsidRPr="0037773B" w:rsidRDefault="00AF24D8" w:rsidP="00575112">
            <w:pPr>
              <w:pStyle w:val="PargrafodaLista"/>
              <w:ind w:left="2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7773B">
              <w:rPr>
                <w:rFonts w:ascii="Arial" w:hAnsi="Arial" w:cs="Arial"/>
                <w:i/>
                <w:sz w:val="18"/>
                <w:szCs w:val="18"/>
              </w:rPr>
              <w:t>3)"Sustenta que, mesmo depois dessa segunda cirurgia de revisão e diante do persistente quadro de dor o réu continuou a lhe negar qualquer assistência pós-operatória”</w:t>
            </w:r>
          </w:p>
        </w:tc>
        <w:tc>
          <w:tcPr>
            <w:tcW w:w="2830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73B">
              <w:rPr>
                <w:rFonts w:ascii="Arial" w:hAnsi="Arial" w:cs="Arial"/>
                <w:sz w:val="18"/>
                <w:szCs w:val="18"/>
              </w:rPr>
              <w:t>Não prestou assistência</w:t>
            </w:r>
          </w:p>
        </w:tc>
        <w:tc>
          <w:tcPr>
            <w:tcW w:w="2819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73B">
              <w:rPr>
                <w:rFonts w:ascii="Arial" w:hAnsi="Arial" w:cs="Arial"/>
                <w:sz w:val="18"/>
                <w:szCs w:val="18"/>
              </w:rPr>
              <w:t>Negligência</w:t>
            </w:r>
          </w:p>
        </w:tc>
      </w:tr>
      <w:tr w:rsidR="00AF24D8" w:rsidRPr="0037773B" w:rsidTr="00AF24D8">
        <w:tc>
          <w:tcPr>
            <w:tcW w:w="2845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7773B">
              <w:rPr>
                <w:rFonts w:ascii="Arial" w:hAnsi="Arial" w:cs="Arial"/>
                <w:i/>
                <w:sz w:val="18"/>
                <w:szCs w:val="18"/>
              </w:rPr>
              <w:t xml:space="preserve">4)" A leitura apurada do diário de saúde, permite concluir, mesmo sem auxílio de perícia judicial, que durante aqueles dias de internação, a equipe médica constatou que o quadro de saúde da autora era grave e decorria da infecção desde o primeiro procedimento cirúrgico. </w:t>
            </w:r>
          </w:p>
        </w:tc>
        <w:tc>
          <w:tcPr>
            <w:tcW w:w="2830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73B">
              <w:rPr>
                <w:rFonts w:ascii="Arial" w:hAnsi="Arial" w:cs="Arial"/>
                <w:sz w:val="18"/>
                <w:szCs w:val="18"/>
              </w:rPr>
              <w:t>Agravamento do quadro</w:t>
            </w:r>
          </w:p>
        </w:tc>
        <w:tc>
          <w:tcPr>
            <w:tcW w:w="2819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73B">
              <w:rPr>
                <w:rFonts w:ascii="Arial" w:hAnsi="Arial" w:cs="Arial"/>
                <w:sz w:val="18"/>
                <w:szCs w:val="18"/>
              </w:rPr>
              <w:t>Imprudência</w:t>
            </w:r>
          </w:p>
        </w:tc>
      </w:tr>
      <w:tr w:rsidR="00AF24D8" w:rsidRPr="0037773B" w:rsidTr="00AF24D8">
        <w:tc>
          <w:tcPr>
            <w:tcW w:w="2845" w:type="dxa"/>
          </w:tcPr>
          <w:p w:rsidR="00AF24D8" w:rsidRPr="0037773B" w:rsidRDefault="00AF24D8" w:rsidP="00575112">
            <w:pPr>
              <w:ind w:left="2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7773B">
              <w:rPr>
                <w:rFonts w:ascii="Arial" w:hAnsi="Arial" w:cs="Arial"/>
                <w:i/>
                <w:sz w:val="18"/>
                <w:szCs w:val="18"/>
              </w:rPr>
              <w:t xml:space="preserve">5)"[...] assevera que, ainda na rede pública, não conseguiu ser </w:t>
            </w:r>
            <w:r w:rsidRPr="0037773B">
              <w:rPr>
                <w:rFonts w:ascii="Arial" w:hAnsi="Arial" w:cs="Arial"/>
                <w:i/>
                <w:sz w:val="18"/>
                <w:szCs w:val="18"/>
              </w:rPr>
              <w:lastRenderedPageBreak/>
              <w:t>submetida à cirurgia recomendada, ante a dificuldade de aquisição de material e anestesia [...]"</w:t>
            </w:r>
          </w:p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0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73B">
              <w:rPr>
                <w:rFonts w:ascii="Arial" w:hAnsi="Arial" w:cs="Arial"/>
                <w:sz w:val="18"/>
                <w:szCs w:val="18"/>
              </w:rPr>
              <w:lastRenderedPageBreak/>
              <w:t>Falta de material para cirurgia</w:t>
            </w:r>
          </w:p>
        </w:tc>
        <w:tc>
          <w:tcPr>
            <w:tcW w:w="2819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73B">
              <w:rPr>
                <w:rFonts w:ascii="Arial" w:hAnsi="Arial" w:cs="Arial"/>
                <w:sz w:val="18"/>
                <w:szCs w:val="18"/>
              </w:rPr>
              <w:t>Negligência</w:t>
            </w:r>
          </w:p>
        </w:tc>
      </w:tr>
      <w:tr w:rsidR="00AF24D8" w:rsidRPr="0037773B" w:rsidTr="00AF24D8">
        <w:tc>
          <w:tcPr>
            <w:tcW w:w="2845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7773B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6) A Autora deu à luz a uma criança que veio a óbito. Alegam também que o médico acompanhou o parto de outras quatro parturientes ao mesmo tempo</w:t>
            </w:r>
          </w:p>
        </w:tc>
        <w:tc>
          <w:tcPr>
            <w:tcW w:w="2830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73B">
              <w:rPr>
                <w:rFonts w:ascii="Arial" w:hAnsi="Arial" w:cs="Arial"/>
                <w:sz w:val="18"/>
                <w:szCs w:val="18"/>
              </w:rPr>
              <w:t>Excesso de trabalho</w:t>
            </w:r>
          </w:p>
        </w:tc>
        <w:tc>
          <w:tcPr>
            <w:tcW w:w="2819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73B">
              <w:rPr>
                <w:rFonts w:ascii="Arial" w:hAnsi="Arial" w:cs="Arial"/>
                <w:sz w:val="18"/>
                <w:szCs w:val="18"/>
              </w:rPr>
              <w:t>Imprudência</w:t>
            </w:r>
          </w:p>
        </w:tc>
      </w:tr>
      <w:tr w:rsidR="00AF24D8" w:rsidRPr="0037773B" w:rsidTr="00AF24D8">
        <w:tc>
          <w:tcPr>
            <w:tcW w:w="2845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73B">
              <w:rPr>
                <w:rFonts w:ascii="Arial" w:hAnsi="Arial" w:cs="Arial"/>
                <w:sz w:val="20"/>
                <w:szCs w:val="20"/>
              </w:rPr>
              <w:t>7)</w:t>
            </w:r>
            <w:r w:rsidRPr="003777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7773B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Menor de 4 anos descreve o sofrimento durante quase um mês de internação, necessidade de uma segunda cirurgia para limpeza de órgãos, sequela estética, vergonha do corpo e pânico.</w:t>
            </w:r>
          </w:p>
        </w:tc>
        <w:tc>
          <w:tcPr>
            <w:tcW w:w="2830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73B">
              <w:rPr>
                <w:rFonts w:ascii="Arial" w:hAnsi="Arial" w:cs="Arial"/>
                <w:sz w:val="20"/>
                <w:szCs w:val="20"/>
              </w:rPr>
              <w:t>Muito tempo de internação</w:t>
            </w:r>
          </w:p>
        </w:tc>
        <w:tc>
          <w:tcPr>
            <w:tcW w:w="2819" w:type="dxa"/>
          </w:tcPr>
          <w:p w:rsidR="00AF24D8" w:rsidRPr="0037773B" w:rsidRDefault="00AF24D8" w:rsidP="00575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73B">
              <w:rPr>
                <w:rFonts w:ascii="Arial" w:hAnsi="Arial" w:cs="Arial"/>
                <w:sz w:val="20"/>
                <w:szCs w:val="20"/>
              </w:rPr>
              <w:t>Imperícia</w:t>
            </w:r>
          </w:p>
        </w:tc>
      </w:tr>
    </w:tbl>
    <w:p w:rsidR="00AF24D8" w:rsidRPr="0037773B" w:rsidRDefault="00AF24D8" w:rsidP="00AF24D8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 w:rsidRPr="0037773B">
        <w:rPr>
          <w:rFonts w:ascii="Arial" w:hAnsi="Arial" w:cs="Arial"/>
          <w:sz w:val="20"/>
          <w:szCs w:val="18"/>
        </w:rPr>
        <w:t>Fonte:</w:t>
      </w:r>
      <w:r w:rsidRPr="0037773B">
        <w:rPr>
          <w:rFonts w:ascii="Arial" w:hAnsi="Arial" w:cs="Arial"/>
          <w:sz w:val="28"/>
          <w:szCs w:val="24"/>
        </w:rPr>
        <w:t xml:space="preserve"> </w:t>
      </w:r>
      <w:r w:rsidRPr="0037773B">
        <w:rPr>
          <w:rFonts w:ascii="Arial" w:hAnsi="Arial" w:cs="Arial"/>
          <w:sz w:val="20"/>
          <w:szCs w:val="18"/>
        </w:rPr>
        <w:t>Fragmentos das decisões dos processos do TJDFT</w:t>
      </w:r>
    </w:p>
    <w:p w:rsidR="00AF24D8" w:rsidRDefault="00AF24D8" w:rsidP="00AF24D8"/>
    <w:p w:rsidR="00AF24D8" w:rsidRDefault="00AF24D8" w:rsidP="00AF24D8"/>
    <w:p w:rsidR="00AF24D8" w:rsidRDefault="00AF24D8" w:rsidP="00AF24D8"/>
    <w:p w:rsidR="00AF24D8" w:rsidRDefault="00AF24D8" w:rsidP="00AF24D8"/>
    <w:p w:rsidR="00AF24D8" w:rsidRDefault="00AF24D8" w:rsidP="00AF24D8"/>
    <w:p w:rsidR="00AF24D8" w:rsidRDefault="00AF24D8" w:rsidP="00AF24D8"/>
    <w:p w:rsidR="00AF24D8" w:rsidRPr="00AF24D8" w:rsidRDefault="00AF24D8" w:rsidP="00AF24D8"/>
    <w:sectPr w:rsidR="00AF24D8" w:rsidRPr="00AF24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95412"/>
    <w:multiLevelType w:val="hybridMultilevel"/>
    <w:tmpl w:val="57D4BFD2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B3B16"/>
    <w:multiLevelType w:val="hybridMultilevel"/>
    <w:tmpl w:val="C9BCC0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D8"/>
    <w:rsid w:val="0025350F"/>
    <w:rsid w:val="00A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19F57-93A6-4AFA-89C3-91316E6D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4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IGURA">
    <w:name w:val="FIGURA"/>
    <w:basedOn w:val="SemEspaamento"/>
    <w:next w:val="SemEspaamento"/>
    <w:link w:val="FIGURAChar"/>
    <w:qFormat/>
    <w:rsid w:val="00AF24D8"/>
    <w:pPr>
      <w:spacing w:line="360" w:lineRule="auto"/>
      <w:ind w:firstLine="709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FIGURAChar">
    <w:name w:val="FIGURA Char"/>
    <w:basedOn w:val="Fontepargpadro"/>
    <w:link w:val="FIGURA"/>
    <w:rsid w:val="00AF24D8"/>
    <w:rPr>
      <w:rFonts w:ascii="Arial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AF24D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F24D8"/>
    <w:pPr>
      <w:ind w:left="720"/>
      <w:contextualSpacing/>
    </w:pPr>
  </w:style>
  <w:style w:type="table" w:styleId="Tabelacomgrade">
    <w:name w:val="Table Grid"/>
    <w:basedOn w:val="Tabelanormal"/>
    <w:uiPriority w:val="39"/>
    <w:rsid w:val="00AF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link w:val="TABELAChar"/>
    <w:qFormat/>
    <w:rsid w:val="00AF24D8"/>
    <w:pPr>
      <w:spacing w:line="240" w:lineRule="auto"/>
    </w:pPr>
    <w:rPr>
      <w:rFonts w:ascii="Arial" w:eastAsia="Times New Roman" w:hAnsi="Arial" w:cs="Arial"/>
      <w:iCs/>
      <w:sz w:val="24"/>
      <w:szCs w:val="24"/>
      <w:lang w:eastAsia="pt-BR"/>
    </w:rPr>
  </w:style>
  <w:style w:type="character" w:customStyle="1" w:styleId="TABELAChar">
    <w:name w:val="TABELA Char"/>
    <w:basedOn w:val="Fontepargpadro"/>
    <w:link w:val="TABELA"/>
    <w:rsid w:val="00AF24D8"/>
    <w:rPr>
      <w:rFonts w:ascii="Arial" w:eastAsia="Times New Roman" w:hAnsi="Arial" w:cs="Arial"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MESTRADO%20PROF%20-%20ERRO%20M&#201;DICO\DISSERTA&#199;&#195;O\Resultado%20-%20Bases%20de%20Consulta%20TJDFT%20(Recuperado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Tipo</a:t>
            </a:r>
            <a:r>
              <a:rPr lang="pt-BR" baseline="0"/>
              <a:t> de requerido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596-4361-B6F7-9611A91E0D09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596-4361-B6F7-9611A91E0D09}"/>
              </c:ext>
            </c:extLst>
          </c:dPt>
          <c:dPt>
            <c:idx val="2"/>
            <c:bubble3D val="0"/>
            <c:spPr>
              <a:solidFill>
                <a:schemeClr val="accent5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596-4361-B6F7-9611A91E0D09}"/>
              </c:ext>
            </c:extLst>
          </c:dPt>
          <c:cat>
            <c:strRef>
              <c:f>GRÁFICOS!$B$24:$B$26</c:f>
              <c:strCache>
                <c:ptCount val="3"/>
                <c:pt idx="0">
                  <c:v>INDIVIDUAL</c:v>
                </c:pt>
                <c:pt idx="1">
                  <c:v>PÚBLICO</c:v>
                </c:pt>
                <c:pt idx="2">
                  <c:v>PRIVADO</c:v>
                </c:pt>
              </c:strCache>
            </c:strRef>
          </c:cat>
          <c:val>
            <c:numRef>
              <c:f>GRÁFICOS!$C$24:$C$26</c:f>
              <c:numCache>
                <c:formatCode>General</c:formatCode>
                <c:ptCount val="3"/>
                <c:pt idx="0">
                  <c:v>10</c:v>
                </c:pt>
                <c:pt idx="1">
                  <c:v>89</c:v>
                </c:pt>
                <c:pt idx="2">
                  <c:v>105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596-4361-B6F7-9611A91E0D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Rodrigues Gomes</dc:creator>
  <cp:keywords/>
  <dc:description/>
  <cp:lastModifiedBy>Talita Rodrigues Gomes</cp:lastModifiedBy>
  <cp:revision>1</cp:revision>
  <dcterms:created xsi:type="dcterms:W3CDTF">2017-11-10T17:53:00Z</dcterms:created>
  <dcterms:modified xsi:type="dcterms:W3CDTF">2017-11-10T18:00:00Z</dcterms:modified>
</cp:coreProperties>
</file>