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Tabela 1. Perfil demográfico dos presidiários.</w:t>
      </w:r>
    </w:p>
    <w:tbl>
      <w:tblPr>
        <w:tblW w:w="7574" w:type="dxa"/>
        <w:jc w:val="center"/>
        <w:tblInd w:w="0" w:type="dxa"/>
        <w:tblBorders>
          <w:top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07"/>
        <w:gridCol w:w="1206"/>
        <w:gridCol w:w="1440"/>
        <w:gridCol w:w="2520"/>
      </w:tblGrid>
      <w:tr>
        <w:trPr>
          <w:trHeight w:val="255" w:hRule="atLeast"/>
        </w:trPr>
        <w:tc>
          <w:tcPr>
            <w:tcW w:w="2407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VARIÁVEL </w:t>
            </w:r>
          </w:p>
        </w:tc>
        <w:tc>
          <w:tcPr>
            <w:tcW w:w="1206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 xml:space="preserve">       </w:t>
            </w:r>
            <w:r>
              <w:rPr>
                <w:rFonts w:cs="Arial" w:ascii="Arial" w:hAnsi="Arial"/>
                <w:i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</w:t>
            </w:r>
            <w:r>
              <w:rPr>
                <w:rFonts w:cs="Arial" w:ascii="Arial" w:hAnsi="Arial"/>
              </w:rPr>
              <w:t>IC- 100%</w:t>
            </w:r>
          </w:p>
        </w:tc>
      </w:tr>
      <w:tr>
        <w:trPr>
          <w:trHeight w:val="462" w:hRule="atLeast"/>
        </w:trPr>
        <w:tc>
          <w:tcPr>
            <w:tcW w:w="2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Sexo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Masculino</w:t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40" w:hRule="atLeast"/>
        </w:trPr>
        <w:tc>
          <w:tcPr>
            <w:tcW w:w="36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Faixa Etária(anos)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2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 – 30</w:t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37,5</w:t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</w:t>
            </w:r>
            <w:r>
              <w:rPr>
                <w:rFonts w:cs="Arial" w:ascii="Arial" w:hAnsi="Arial"/>
              </w:rPr>
              <w:t>22,7 - 54,2</w:t>
            </w:r>
          </w:p>
        </w:tc>
      </w:tr>
      <w:tr>
        <w:trPr>
          <w:trHeight w:val="255" w:hRule="atLeast"/>
        </w:trPr>
        <w:tc>
          <w:tcPr>
            <w:tcW w:w="2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 – 40</w:t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37,5</w:t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</w:t>
            </w:r>
            <w:r>
              <w:rPr>
                <w:rFonts w:cs="Arial" w:ascii="Arial" w:hAnsi="Arial"/>
              </w:rPr>
              <w:t>22,7 - 54,2</w:t>
            </w:r>
          </w:p>
        </w:tc>
      </w:tr>
      <w:tr>
        <w:trPr>
          <w:trHeight w:val="255" w:hRule="atLeast"/>
        </w:trPr>
        <w:tc>
          <w:tcPr>
            <w:tcW w:w="2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41- 50</w:t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22,5</w:t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</w:t>
            </w:r>
            <w:r>
              <w:rPr>
                <w:rFonts w:cs="Arial" w:ascii="Arial" w:hAnsi="Arial"/>
              </w:rPr>
              <w:t>10,8 - 38,5</w:t>
            </w:r>
          </w:p>
        </w:tc>
      </w:tr>
      <w:tr>
        <w:trPr>
          <w:trHeight w:val="255" w:hRule="atLeast"/>
        </w:trPr>
        <w:tc>
          <w:tcPr>
            <w:tcW w:w="2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&gt; 50</w:t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2,5</w:t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</w:t>
            </w:r>
            <w:r>
              <w:rPr>
                <w:rFonts w:cs="Arial" w:ascii="Arial" w:hAnsi="Arial"/>
              </w:rPr>
              <w:t>0,1 - 13,2</w:t>
            </w:r>
          </w:p>
        </w:tc>
      </w:tr>
      <w:tr>
        <w:trPr>
          <w:trHeight w:val="592" w:hRule="atLeast"/>
        </w:trPr>
        <w:tc>
          <w:tcPr>
            <w:tcW w:w="36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Escolaridade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2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Analfabeto</w:t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35,0</w:t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</w:t>
            </w:r>
            <w:r>
              <w:rPr>
                <w:rFonts w:cs="Arial" w:ascii="Arial" w:hAnsi="Arial"/>
              </w:rPr>
              <w:t>20,6 - 51,7</w:t>
            </w:r>
          </w:p>
        </w:tc>
      </w:tr>
      <w:tr>
        <w:trPr>
          <w:trHeight w:val="255" w:hRule="atLeast"/>
        </w:trPr>
        <w:tc>
          <w:tcPr>
            <w:tcW w:w="2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E.Fundamental incompleto</w:t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47,5</w:t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</w:t>
            </w:r>
            <w:r>
              <w:rPr>
                <w:rFonts w:cs="Arial" w:ascii="Arial" w:hAnsi="Arial"/>
              </w:rPr>
              <w:t>31,5 - 63,9</w:t>
            </w:r>
          </w:p>
        </w:tc>
      </w:tr>
      <w:tr>
        <w:trPr>
          <w:trHeight w:val="255" w:hRule="atLeast"/>
        </w:trPr>
        <w:tc>
          <w:tcPr>
            <w:tcW w:w="2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E. Médio completo</w:t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17,5</w:t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</w:t>
            </w:r>
            <w:r>
              <w:rPr>
                <w:rFonts w:cs="Arial" w:ascii="Arial" w:hAnsi="Arial"/>
              </w:rPr>
              <w:t>7,3 - 32,8</w:t>
            </w:r>
          </w:p>
        </w:tc>
      </w:tr>
      <w:tr>
        <w:trPr>
          <w:trHeight w:val="478" w:hRule="atLeast"/>
        </w:trPr>
        <w:tc>
          <w:tcPr>
            <w:tcW w:w="757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Tempo de consumo da Droga Ilícita (anos)</w:t>
            </w:r>
          </w:p>
        </w:tc>
      </w:tr>
      <w:tr>
        <w:trPr>
          <w:trHeight w:val="255" w:hRule="atLeast"/>
        </w:trPr>
        <w:tc>
          <w:tcPr>
            <w:tcW w:w="2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 a 10</w:t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22,5</w:t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</w:t>
            </w:r>
            <w:r>
              <w:rPr>
                <w:rFonts w:cs="Arial" w:ascii="Arial" w:hAnsi="Arial"/>
              </w:rPr>
              <w:t>10,8 - 38,5</w:t>
            </w:r>
          </w:p>
        </w:tc>
      </w:tr>
      <w:tr>
        <w:trPr>
          <w:trHeight w:val="255" w:hRule="atLeast"/>
        </w:trPr>
        <w:tc>
          <w:tcPr>
            <w:tcW w:w="2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a 15</w:t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</w:t>
            </w:r>
            <w:r>
              <w:rPr>
                <w:rFonts w:cs="Arial" w:ascii="Arial" w:hAnsi="Arial"/>
              </w:rPr>
              <w:t>9,1 - 35,6</w:t>
            </w:r>
          </w:p>
        </w:tc>
      </w:tr>
      <w:tr>
        <w:trPr>
          <w:trHeight w:val="255" w:hRule="atLeast"/>
        </w:trPr>
        <w:tc>
          <w:tcPr>
            <w:tcW w:w="240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 a 20</w:t>
            </w:r>
          </w:p>
        </w:tc>
        <w:tc>
          <w:tcPr>
            <w:tcW w:w="120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12,5</w:t>
            </w:r>
          </w:p>
        </w:tc>
        <w:tc>
          <w:tcPr>
            <w:tcW w:w="252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</w:t>
            </w:r>
            <w:r>
              <w:rPr>
                <w:rFonts w:cs="Arial" w:ascii="Arial" w:hAnsi="Arial"/>
              </w:rPr>
              <w:t>4,2 - 27,1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Tabela 2. Drogas ilícitas mais utilizadas pelos detendos na prática do homicídio.</w:t>
      </w:r>
    </w:p>
    <w:tbl>
      <w:tblPr>
        <w:tblW w:w="7235" w:type="dxa"/>
        <w:jc w:val="left"/>
        <w:tblInd w:w="56" w:type="dxa"/>
        <w:tblBorders>
          <w:top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51"/>
        <w:gridCol w:w="917"/>
        <w:gridCol w:w="1041"/>
        <w:gridCol w:w="2725"/>
      </w:tblGrid>
      <w:tr>
        <w:trPr>
          <w:trHeight w:val="309" w:hRule="atLeast"/>
        </w:trPr>
        <w:tc>
          <w:tcPr>
            <w:tcW w:w="2551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Drogas mais utilizadas</w:t>
            </w:r>
          </w:p>
        </w:tc>
        <w:tc>
          <w:tcPr>
            <w:tcW w:w="917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 xml:space="preserve">   </w:t>
            </w:r>
            <w:r>
              <w:rPr>
                <w:rFonts w:cs="Arial" w:ascii="Arial" w:hAnsi="Arial"/>
                <w:i/>
              </w:rPr>
              <w:t>f</w:t>
            </w:r>
          </w:p>
        </w:tc>
        <w:tc>
          <w:tcPr>
            <w:tcW w:w="1041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%</w:t>
            </w:r>
          </w:p>
        </w:tc>
        <w:tc>
          <w:tcPr>
            <w:tcW w:w="2725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</w:t>
            </w:r>
            <w:r>
              <w:rPr>
                <w:rFonts w:cs="Arial" w:ascii="Arial" w:hAnsi="Arial"/>
              </w:rPr>
              <w:t xml:space="preserve">IC- 100%  </w:t>
            </w:r>
          </w:p>
        </w:tc>
      </w:tr>
      <w:tr>
        <w:trPr>
          <w:trHeight w:val="794" w:hRule="atLeast"/>
        </w:trPr>
        <w:tc>
          <w:tcPr>
            <w:tcW w:w="255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Cocaína</w:t>
            </w:r>
          </w:p>
        </w:tc>
        <w:tc>
          <w:tcPr>
            <w:tcW w:w="91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7</w:t>
            </w:r>
          </w:p>
        </w:tc>
        <w:tc>
          <w:tcPr>
            <w:tcW w:w="10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17,5</w:t>
            </w:r>
          </w:p>
        </w:tc>
        <w:tc>
          <w:tcPr>
            <w:tcW w:w="272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</w:t>
            </w:r>
            <w:r>
              <w:rPr>
                <w:rFonts w:cs="Arial" w:ascii="Arial" w:hAnsi="Arial"/>
              </w:rPr>
              <w:t>7,3  -  32,8</w:t>
            </w:r>
          </w:p>
        </w:tc>
      </w:tr>
      <w:tr>
        <w:trPr>
          <w:trHeight w:val="608" w:hRule="atLeast"/>
        </w:trPr>
        <w:tc>
          <w:tcPr>
            <w:tcW w:w="255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Crack</w:t>
            </w:r>
          </w:p>
        </w:tc>
        <w:tc>
          <w:tcPr>
            <w:tcW w:w="91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12</w:t>
            </w:r>
          </w:p>
        </w:tc>
        <w:tc>
          <w:tcPr>
            <w:tcW w:w="10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  <w:tc>
          <w:tcPr>
            <w:tcW w:w="272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</w:t>
            </w:r>
            <w:r>
              <w:rPr>
                <w:rFonts w:cs="Arial" w:ascii="Arial" w:hAnsi="Arial"/>
              </w:rPr>
              <w:t>16,6 - 46,5</w:t>
            </w:r>
          </w:p>
        </w:tc>
      </w:tr>
      <w:tr>
        <w:trPr>
          <w:trHeight w:val="533" w:hRule="atLeast"/>
        </w:trPr>
        <w:tc>
          <w:tcPr>
            <w:tcW w:w="255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Maconha</w:t>
            </w:r>
          </w:p>
        </w:tc>
        <w:tc>
          <w:tcPr>
            <w:tcW w:w="91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14</w:t>
            </w:r>
          </w:p>
        </w:tc>
        <w:tc>
          <w:tcPr>
            <w:tcW w:w="10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35,0</w:t>
            </w:r>
          </w:p>
        </w:tc>
        <w:tc>
          <w:tcPr>
            <w:tcW w:w="272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</w:t>
            </w:r>
            <w:r>
              <w:rPr>
                <w:rFonts w:cs="Arial" w:ascii="Arial" w:hAnsi="Arial"/>
              </w:rPr>
              <w:t>20,6 - 41,7</w:t>
            </w:r>
          </w:p>
        </w:tc>
      </w:tr>
      <w:tr>
        <w:trPr>
          <w:trHeight w:val="541" w:hRule="atLeast"/>
        </w:trPr>
        <w:tc>
          <w:tcPr>
            <w:tcW w:w="25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Outros*</w:t>
            </w:r>
          </w:p>
        </w:tc>
        <w:tc>
          <w:tcPr>
            <w:tcW w:w="91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8</w:t>
            </w:r>
          </w:p>
        </w:tc>
        <w:tc>
          <w:tcPr>
            <w:tcW w:w="104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20,0</w:t>
            </w:r>
          </w:p>
        </w:tc>
        <w:tc>
          <w:tcPr>
            <w:tcW w:w="272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</w:t>
            </w:r>
            <w:r>
              <w:rPr>
                <w:rFonts w:cs="Arial" w:ascii="Arial" w:hAnsi="Arial"/>
              </w:rPr>
              <w:t>9,1 -  35,6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outros</w:t>
      </w:r>
      <w:r>
        <w:rPr>
          <w:rFonts w:cs="Arial" w:ascii="Arial" w:hAnsi="Arial"/>
          <w:sz w:val="20"/>
          <w:szCs w:val="20"/>
        </w:rPr>
        <w:t>*:solvente, heroína, extase, LSD, cola, comprimidos, clonazepam (rivotril®).</w:t>
      </w:r>
    </w:p>
    <w:p>
      <w:pPr>
        <w:pStyle w:val="Normal"/>
        <w:spacing w:lineRule="auto" w:line="360"/>
        <w:ind w:left="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Gráfico 1- Terapia farmacológica implantada nos penitenciários para minimizar os danos neurológicos e/ou comportamentais.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/>
        <w:drawing>
          <wp:inline distT="0" distB="0" distL="0" distR="0">
            <wp:extent cx="4572000" cy="27432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Gráfico 2- Tipificação do homicídio e o  consumo de drogas ilícitas, de acordo com o Artigo 121 § 2º, incisos I, II, III e IV, do Código Penal Brasileiro</w:t>
      </w:r>
    </w:p>
    <w:p>
      <w:pPr>
        <w:pStyle w:val="Normal"/>
        <w:rPr/>
      </w:pPr>
      <w:r>
        <w:rPr/>
        <w:drawing>
          <wp:inline distT="0" distB="0" distL="0" distR="0">
            <wp:extent cx="5124450" cy="309562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517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PT" w:eastAsia="pt-PT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Antipissicoticos</c:v>
                </c:pt>
                <c:pt idx="1">
                  <c:v>Ansiolíticos</c:v>
                </c:pt>
                <c:pt idx="2">
                  <c:v>Antidepressivos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</c:v>
                </c:pt>
                <c:pt idx="1">
                  <c:v>0.7</c:v>
                </c:pt>
                <c:pt idx="2">
                  <c:v>0.529</c:v>
                </c:pt>
              </c:numCache>
            </c:numRef>
          </c:val>
        </c:ser>
        <c:gapWidth val="219"/>
        <c:overlap val="-27"/>
        <c:axId val="53851902"/>
        <c:axId val="28786666"/>
      </c:barChart>
      <c:catAx>
        <c:axId val="53851902"/>
        <c:scaling>
          <c:orientation val="minMax"/>
        </c:scaling>
        <c:delete val="0"/>
        <c:axPos val="b"/>
        <c:numFmt formatCode="DD/MM/AAAA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</a:p>
        </c:txPr>
        <c:crossAx val="28786666"/>
        <c:crosses val="autoZero"/>
        <c:auto val="1"/>
        <c:lblAlgn val="ctr"/>
        <c:lblOffset val="100"/>
      </c:catAx>
      <c:valAx>
        <c:axId val="28786666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</a:p>
        </c:txPr>
        <c:crossAx val="53851902"/>
        <c:crosses val="autoZero"/>
      </c:valAx>
      <c:spPr>
        <a:solidFill>
          <a:srgbClr val="a6a6a6">
            <a:alpha val="64000"/>
          </a:srgbClr>
        </a:solidFill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USUÁRIOS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0.35</c:v>
                </c:pt>
                <c:pt idx="1">
                  <c:v>0.27</c:v>
                </c:pt>
                <c:pt idx="2">
                  <c:v>0.1</c:v>
                </c:pt>
                <c:pt idx="3">
                  <c:v>0.075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NÃO USUÁRIOS</c:v>
                </c:pt>
              </c:strCache>
            </c:strRef>
          </c:tx>
          <c:spPr>
            <a:solidFill>
              <a:srgbClr val="af67cf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0.325</c:v>
                </c:pt>
                <c:pt idx="1">
                  <c:v>0.15</c:v>
                </c:pt>
                <c:pt idx="2">
                  <c:v>0.075</c:v>
                </c:pt>
                <c:pt idx="3">
                  <c:v>0.125</c:v>
                </c:pt>
              </c:numCache>
            </c:numRef>
          </c:val>
        </c:ser>
        <c:gapWidth val="219"/>
        <c:overlap val="-27"/>
        <c:axId val="31309791"/>
        <c:axId val="39888956"/>
      </c:barChart>
      <c:catAx>
        <c:axId val="31309791"/>
        <c:scaling>
          <c:orientation val="minMax"/>
        </c:scaling>
        <c:delete val="0"/>
        <c:axPos val="b"/>
        <c:numFmt formatCode="DD/MM/AAAA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</a:p>
        </c:txPr>
        <c:crossAx val="39888956"/>
        <c:crosses val="autoZero"/>
        <c:auto val="1"/>
        <c:lblAlgn val="ctr"/>
        <c:lblOffset val="100"/>
      </c:catAx>
      <c:valAx>
        <c:axId val="39888956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</a:p>
        </c:txPr>
        <c:crossAx val="31309791"/>
        <c:crosses val="autoZero"/>
      </c:valAx>
      <c:spPr>
        <a:solidFill>
          <a:srgbClr val="a6a6a6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484D-606C-431F-82F1-E0D67562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LibreOffice/5.0.0.5$Windows_x86 LibreOffice_project/1b1a90865e348b492231e1c451437d7a15bb262b</Application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2017-09-04T16:43:35Z</dcterms:created>
  <dc:language>pt-BR</dc:language>
  <dcterms:modified xsi:type="dcterms:W3CDTF">2017-09-04T16:44:05Z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