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42" w:rsidRDefault="00377F42" w:rsidP="00377F42">
      <w:pPr>
        <w:pStyle w:val="Textodenotaderodap"/>
        <w:spacing w:before="0"/>
        <w:ind w:left="0" w:firstLine="0"/>
      </w:pPr>
      <w:r>
        <w:t xml:space="preserve">1 </w:t>
      </w:r>
      <w:r>
        <w:t xml:space="preserve">Cfr. BOURDIEU, P., </w:t>
      </w:r>
      <w:r>
        <w:rPr>
          <w:i/>
        </w:rPr>
        <w:t>Razones prácticas. Sobre la teoría de la acción</w:t>
      </w:r>
      <w:r>
        <w:t xml:space="preserve">, trad. Th. </w:t>
      </w:r>
      <w:proofErr w:type="spellStart"/>
      <w:r>
        <w:t>Kauf</w:t>
      </w:r>
      <w:proofErr w:type="spellEnd"/>
      <w:r>
        <w:t xml:space="preserve">, Anagrama, Barcelona, 2007, p. 133. Ya Rousseau expresó la continuidad que existía entre la familia y el Estado: "la familia es la pequeña patria por la que el corazón se une a la grande", ROUSSEAU, J. J., </w:t>
      </w:r>
      <w:r>
        <w:rPr>
          <w:i/>
        </w:rPr>
        <w:t>Emilio o de la Educación</w:t>
      </w:r>
      <w:r>
        <w:t>, trad. M. Armiño, Alianza, Madrid, 1990, p. 491.</w:t>
      </w:r>
    </w:p>
    <w:p w:rsidR="00377F42" w:rsidRDefault="00377F42" w:rsidP="00377F42">
      <w:pPr>
        <w:pStyle w:val="Textodenotaderodap"/>
        <w:spacing w:before="0"/>
        <w:ind w:left="0" w:firstLine="0"/>
      </w:pPr>
      <w:r>
        <w:rPr>
          <w:rStyle w:val="Refdenotaderodap"/>
        </w:rPr>
        <w:t>2</w:t>
      </w:r>
      <w:r>
        <w:t xml:space="preserve">BUTLER, J., </w:t>
      </w:r>
      <w:r>
        <w:rPr>
          <w:i/>
        </w:rPr>
        <w:t>Deshacer el género</w:t>
      </w:r>
      <w:r>
        <w:t xml:space="preserve">, trad. P. </w:t>
      </w:r>
      <w:proofErr w:type="spellStart"/>
      <w:r>
        <w:t>Soley</w:t>
      </w:r>
      <w:proofErr w:type="spellEnd"/>
      <w:r>
        <w:t>-Beltrán, Paidós, Barcelona, 2008, p. 165</w:t>
      </w:r>
    </w:p>
    <w:p w:rsidR="00377F42" w:rsidRDefault="00377F42" w:rsidP="00377F42">
      <w:pPr>
        <w:pStyle w:val="Textodenotaderodap"/>
        <w:spacing w:before="0"/>
        <w:ind w:left="0" w:firstLine="0"/>
      </w:pPr>
      <w:r>
        <w:rPr>
          <w:rStyle w:val="Refdenotaderodap"/>
        </w:rPr>
        <w:t>3</w:t>
      </w:r>
      <w:r>
        <w:t xml:space="preserve"> ROUDINESCO, E., </w:t>
      </w:r>
      <w:r>
        <w:rPr>
          <w:i/>
        </w:rPr>
        <w:t>La familia en desorden</w:t>
      </w:r>
      <w:r>
        <w:t>, trad. O. L. Molina, Anagrama, Barcelona, 2004</w:t>
      </w:r>
      <w:proofErr w:type="gramStart"/>
      <w:r>
        <w:t>,  p</w:t>
      </w:r>
      <w:proofErr w:type="gramEnd"/>
      <w:r>
        <w:t>. 217.</w:t>
      </w:r>
    </w:p>
    <w:p w:rsidR="00377F42" w:rsidRPr="0092741C" w:rsidRDefault="00377F42" w:rsidP="00377F42">
      <w:pPr>
        <w:spacing w:before="0" w:line="360" w:lineRule="auto"/>
        <w:rPr>
          <w:rFonts w:ascii="Arial" w:hAnsi="Arial" w:cs="Arial"/>
          <w:szCs w:val="24"/>
        </w:rPr>
      </w:pPr>
    </w:p>
    <w:p w:rsidR="00377F42" w:rsidRDefault="00377F42" w:rsidP="00377F42">
      <w:pPr>
        <w:pStyle w:val="Textodenotaderodap"/>
      </w:pPr>
      <w:r>
        <w:t>4</w:t>
      </w:r>
      <w:r>
        <w:t xml:space="preserve">GRASS, G., </w:t>
      </w:r>
      <w:r>
        <w:rPr>
          <w:i/>
        </w:rPr>
        <w:t>Partos mentales o los alemanes se extinguen</w:t>
      </w:r>
      <w:r>
        <w:t xml:space="preserve">, trad. G. </w:t>
      </w:r>
      <w:proofErr w:type="spellStart"/>
      <w:r>
        <w:t>Dieterich</w:t>
      </w:r>
      <w:proofErr w:type="spellEnd"/>
      <w:r>
        <w:t>, Alfaguara, Madrid, 1999.</w:t>
      </w:r>
    </w:p>
    <w:p w:rsidR="00377F42" w:rsidRDefault="00377F42" w:rsidP="00377F42">
      <w:pPr>
        <w:pStyle w:val="Textodenotaderodap"/>
      </w:pPr>
      <w:r>
        <w:t>5</w:t>
      </w:r>
      <w:r>
        <w:t xml:space="preserve">Cfr. BECK, U. y BECK-GERNSHEIM, E., </w:t>
      </w:r>
      <w:r>
        <w:rPr>
          <w:i/>
        </w:rPr>
        <w:t>El normal caos del amor. Las nuevas formas de relación amorosa</w:t>
      </w:r>
      <w:r>
        <w:t xml:space="preserve">, trad. D. </w:t>
      </w:r>
      <w:proofErr w:type="spellStart"/>
      <w:r>
        <w:t>Schmitz</w:t>
      </w:r>
      <w:proofErr w:type="spellEnd"/>
      <w:r>
        <w:t>, Paidós, Barcelona, 1998, pp. 164, 220-221.</w:t>
      </w:r>
    </w:p>
    <w:p w:rsidR="00377F42" w:rsidRDefault="00377F42" w:rsidP="00377F42">
      <w:pPr>
        <w:pStyle w:val="Textodenotaderodap"/>
        <w:rPr>
          <w:lang w:val="es-ES"/>
        </w:rPr>
      </w:pPr>
      <w:r>
        <w:t>6</w:t>
      </w:r>
      <w:r w:rsidRPr="00377F42">
        <w:t xml:space="preserve"> </w:t>
      </w:r>
      <w:r>
        <w:t xml:space="preserve">POISSON, J. F., </w:t>
      </w:r>
      <w:r>
        <w:rPr>
          <w:i/>
        </w:rPr>
        <w:t>Bioética. ¿El hombre contra el hombre?</w:t>
      </w:r>
      <w:r>
        <w:t xml:space="preserve">, trad. M. Martín, </w:t>
      </w:r>
      <w:proofErr w:type="spellStart"/>
      <w:r>
        <w:t>Rialp</w:t>
      </w:r>
      <w:proofErr w:type="spellEnd"/>
      <w:r>
        <w:t>, Alcalá, 2009, p. 147.</w:t>
      </w:r>
    </w:p>
    <w:p w:rsidR="00377F42" w:rsidRDefault="00377F42" w:rsidP="00377F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7</w:t>
      </w:r>
      <w:r>
        <w:t xml:space="preserve">ALVÁREZ PLAZA, C., </w:t>
      </w:r>
      <w:r>
        <w:rPr>
          <w:i/>
        </w:rPr>
        <w:t>La búsqueda de la eterna fertilidad. Mercantilismo y altruismo en la donación de semen y óvulos</w:t>
      </w:r>
      <w:r>
        <w:t>, Alcalá, Jaén, 2008, p. 238.</w:t>
      </w:r>
    </w:p>
    <w:p w:rsidR="00377F42" w:rsidRDefault="00377F42" w:rsidP="00377F42">
      <w:r>
        <w:rPr>
          <w:rStyle w:val="Refdenotaderodap"/>
        </w:rPr>
        <w:footnoteRef/>
      </w:r>
      <w:r>
        <w:t xml:space="preserve"> </w:t>
      </w:r>
      <w:r>
        <w:t>8</w:t>
      </w:r>
      <w:r>
        <w:t xml:space="preserve">DE LORA, P. y GASCÓN, M., </w:t>
      </w:r>
      <w:r>
        <w:rPr>
          <w:i/>
        </w:rPr>
        <w:t>Bioética. Principios, desafíos, debates</w:t>
      </w:r>
      <w:r>
        <w:t>, Alianza, Madrid, 2008, p. 83.</w:t>
      </w:r>
    </w:p>
    <w:p w:rsidR="00377F42" w:rsidRDefault="00377F42" w:rsidP="00377F42">
      <w:pPr>
        <w:pStyle w:val="Textodenotaderodap"/>
      </w:pPr>
      <w:r>
        <w:t xml:space="preserve">9 </w:t>
      </w:r>
      <w:r>
        <w:t>COSTA-LASCAUX, J., "Mujer, procreación, bioética"</w:t>
      </w:r>
      <w:proofErr w:type="gramStart"/>
      <w:r>
        <w:t>,  en</w:t>
      </w:r>
      <w:proofErr w:type="gramEnd"/>
      <w:r>
        <w:t xml:space="preserve"> DUBY, G. y PERROT, M. (Eds.), </w:t>
      </w:r>
      <w:r>
        <w:rPr>
          <w:i/>
        </w:rPr>
        <w:t>Historia de las mujeres en Occidente</w:t>
      </w:r>
      <w:r>
        <w:t xml:space="preserve">, Tomo V, trad. M. A. </w:t>
      </w:r>
      <w:proofErr w:type="spellStart"/>
      <w:r>
        <w:t>Galmarini</w:t>
      </w:r>
      <w:proofErr w:type="spellEnd"/>
      <w:r>
        <w:t>, Taurus, Madrid, 1993,  pp. 593-594.</w:t>
      </w:r>
    </w:p>
    <w:p w:rsidR="00377F42" w:rsidRDefault="00377F42" w:rsidP="00377F42">
      <w:pPr>
        <w:pStyle w:val="Textodenotaderodap"/>
      </w:pPr>
      <w:r>
        <w:t xml:space="preserve">10 </w:t>
      </w:r>
      <w:r>
        <w:t>Cfr.</w:t>
      </w:r>
      <w:r>
        <w:rPr>
          <w:i/>
        </w:rPr>
        <w:t xml:space="preserve"> </w:t>
      </w:r>
      <w:r>
        <w:t xml:space="preserve">ALVÁREZ PLAZA, C., </w:t>
      </w:r>
      <w:r>
        <w:rPr>
          <w:i/>
        </w:rPr>
        <w:t>La búsqueda de la eterna fertilidad. Mercantilismo y altruismo en la donación de semen y óvulos</w:t>
      </w:r>
      <w:r>
        <w:t>, cit., pp. 223-224.</w:t>
      </w:r>
    </w:p>
    <w:p w:rsidR="00377F42" w:rsidRDefault="00377F42" w:rsidP="00377F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11</w:t>
      </w:r>
      <w:r>
        <w:t xml:space="preserve">Cfr. BALL, P., </w:t>
      </w:r>
      <w:r>
        <w:rPr>
          <w:i/>
        </w:rPr>
        <w:t>Contra natura. Sobre la idea de crear seres humanos</w:t>
      </w:r>
      <w:r>
        <w:t>, trad. V. V. Úbeda, Turner, Madrid, 2012, pp. 245, 285.</w:t>
      </w:r>
    </w:p>
    <w:p w:rsidR="00377F42" w:rsidRDefault="00377F42" w:rsidP="00377F42">
      <w:pPr>
        <w:pStyle w:val="Textodenotaderodap"/>
      </w:pP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t xml:space="preserve"> </w:t>
      </w:r>
      <w:r>
        <w:t xml:space="preserve">12 </w:t>
      </w:r>
      <w:r>
        <w:t xml:space="preserve">GARCÍA LORCA, F., </w:t>
      </w:r>
      <w:r>
        <w:rPr>
          <w:i/>
        </w:rPr>
        <w:t>Yerma</w:t>
      </w:r>
      <w:r>
        <w:t xml:space="preserve">, edición de I. M. Gil, Cátedra, Madrid, 2012, </w:t>
      </w:r>
    </w:p>
    <w:p w:rsidR="00377F42" w:rsidRDefault="00377F42" w:rsidP="00377F42">
      <w:pPr>
        <w:pStyle w:val="Textodenotaderodap"/>
      </w:pPr>
      <w:r>
        <w:rPr>
          <w:rStyle w:val="Refdenotaderodap"/>
        </w:rPr>
        <w:footnoteRef/>
      </w:r>
      <w:r>
        <w:t xml:space="preserve">13 </w:t>
      </w:r>
      <w:bookmarkStart w:id="0" w:name="_GoBack"/>
      <w:bookmarkEnd w:id="0"/>
      <w:r>
        <w:t xml:space="preserve">GOETHE, </w:t>
      </w:r>
      <w:r>
        <w:rPr>
          <w:i/>
        </w:rPr>
        <w:t>Fausto</w:t>
      </w:r>
      <w:r>
        <w:t>, trad. M. Salmerón, Espasa, Madrid, 2011, pp. 256-257.</w:t>
      </w:r>
    </w:p>
    <w:p w:rsidR="00377F42" w:rsidRPr="00377F42" w:rsidRDefault="00377F42" w:rsidP="00377F42">
      <w:pPr>
        <w:pStyle w:val="Textodenotaderodap"/>
        <w:rPr>
          <w:lang w:val="es-AR"/>
        </w:rPr>
      </w:pPr>
    </w:p>
    <w:p w:rsidR="00377F42" w:rsidRPr="00377F42" w:rsidRDefault="00377F42" w:rsidP="00377F42">
      <w:pPr>
        <w:rPr>
          <w:lang w:val="es-AR"/>
        </w:rPr>
      </w:pPr>
    </w:p>
    <w:p w:rsidR="001B3D61" w:rsidRPr="00377F42" w:rsidRDefault="00377F42" w:rsidP="00377F42">
      <w:pPr>
        <w:ind w:firstLine="0"/>
        <w:rPr>
          <w:lang w:val="es-AR"/>
        </w:rPr>
      </w:pPr>
    </w:p>
    <w:sectPr w:rsidR="001B3D61" w:rsidRPr="00377F42" w:rsidSect="0092741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C" w:rsidRDefault="00377F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4620"/>
      <w:docPartObj>
        <w:docPartGallery w:val="Page Numbers (Bottom of Page)"/>
        <w:docPartUnique/>
      </w:docPartObj>
    </w:sdtPr>
    <w:sdtEndPr/>
    <w:sdtContent>
      <w:p w:rsidR="0092741C" w:rsidRDefault="00377F4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41C" w:rsidRDefault="00377F4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C" w:rsidRDefault="00377F4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C" w:rsidRDefault="00377F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C" w:rsidRDefault="00377F4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1C" w:rsidRDefault="00377F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42"/>
    <w:rsid w:val="00377F42"/>
    <w:rsid w:val="00933877"/>
    <w:rsid w:val="00BF3E31"/>
    <w:rsid w:val="00D55CA5"/>
    <w:rsid w:val="00D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B5C0C-9715-416E-9101-C010EB9D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árrafo normal"/>
    <w:qFormat/>
    <w:rsid w:val="00377F42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next w:val="Normal"/>
    <w:link w:val="TextodenotaderodapChar"/>
    <w:uiPriority w:val="99"/>
    <w:unhideWhenUsed/>
    <w:rsid w:val="00377F42"/>
    <w:pPr>
      <w:ind w:left="170" w:hanging="170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7F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derodap">
    <w:name w:val="footnote reference"/>
    <w:basedOn w:val="Fontepargpadro"/>
    <w:uiPriority w:val="99"/>
    <w:semiHidden/>
    <w:unhideWhenUsed/>
    <w:rsid w:val="00377F42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377F42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7F4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Rodap">
    <w:name w:val="footer"/>
    <w:basedOn w:val="Normal"/>
    <w:link w:val="RodapChar"/>
    <w:uiPriority w:val="99"/>
    <w:unhideWhenUsed/>
    <w:rsid w:val="00377F42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377F42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Celia Delduque N. Pires de Sá</dc:creator>
  <cp:keywords/>
  <dc:description/>
  <cp:lastModifiedBy>Maria Celia Delduque N. Pires de Sá</cp:lastModifiedBy>
  <cp:revision>1</cp:revision>
  <dcterms:created xsi:type="dcterms:W3CDTF">2016-01-19T22:05:00Z</dcterms:created>
  <dcterms:modified xsi:type="dcterms:W3CDTF">2016-01-19T22:18:00Z</dcterms:modified>
</cp:coreProperties>
</file>