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7D" w:rsidRPr="009662FA" w:rsidRDefault="00217FCF" w:rsidP="00C25E7D">
      <w:pPr>
        <w:tabs>
          <w:tab w:val="left" w:pos="0"/>
        </w:tabs>
        <w:jc w:val="both"/>
        <w:rPr>
          <w:rFonts w:ascii="Arial" w:eastAsia="Arial" w:hAnsi="Arial"/>
          <w:szCs w:val="22"/>
          <w:lang w:eastAsia="en-US"/>
        </w:rPr>
      </w:pPr>
      <w:r>
        <w:rPr>
          <w:rFonts w:ascii="Arial" w:hAnsi="Arial" w:cs="Arial"/>
        </w:rPr>
        <w:br w:type="textWrapping" w:clear="all"/>
      </w:r>
      <w:r w:rsidR="00C25E7D">
        <w:rPr>
          <w:rFonts w:ascii="Arial" w:eastAsia="Arial" w:hAnsi="Arial"/>
          <w:b/>
          <w:szCs w:val="22"/>
          <w:lang w:eastAsia="en-US"/>
        </w:rPr>
        <w:t>Tabela 1</w:t>
      </w:r>
      <w:r w:rsidR="00C25E7D">
        <w:rPr>
          <w:rFonts w:ascii="Arial" w:eastAsia="Arial" w:hAnsi="Arial"/>
          <w:szCs w:val="22"/>
          <w:lang w:eastAsia="en-US"/>
        </w:rPr>
        <w:t xml:space="preserve"> – Frequência das Causas de Pedir nos acórdãos do TJDFT entre </w:t>
      </w:r>
      <w:r w:rsidR="00C25E7D">
        <w:rPr>
          <w:rFonts w:ascii="Arial" w:eastAsia="Arial" w:hAnsi="Arial"/>
          <w:i/>
          <w:szCs w:val="22"/>
          <w:lang w:eastAsia="en-US"/>
        </w:rPr>
        <w:t>2010 e 2012</w:t>
      </w:r>
      <w:bookmarkStart w:id="0" w:name="_GoBack"/>
      <w:bookmarkEnd w:id="0"/>
    </w:p>
    <w:tbl>
      <w:tblPr>
        <w:tblpPr w:leftFromText="141" w:rightFromText="141" w:vertAnchor="page" w:horzAnchor="margin" w:tblpY="2244"/>
        <w:tblW w:w="93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1417"/>
        <w:gridCol w:w="1418"/>
        <w:gridCol w:w="1276"/>
        <w:gridCol w:w="841"/>
      </w:tblGrid>
      <w:tr w:rsidR="00C25E7D" w:rsidTr="00C25E7D">
        <w:trPr>
          <w:trHeight w:val="558"/>
        </w:trPr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5E7D" w:rsidRDefault="00C25E7D" w:rsidP="00C25E7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CATEGORIAS DE ANÁLISE</w:t>
            </w:r>
          </w:p>
          <w:p w:rsidR="00C25E7D" w:rsidRDefault="00C25E7D" w:rsidP="00C25E7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Causas de Pedir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5E7D" w:rsidRDefault="00C25E7D" w:rsidP="00C25E7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5E7D" w:rsidRDefault="00C25E7D" w:rsidP="00C25E7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5E7D" w:rsidRDefault="00C25E7D" w:rsidP="00C25E7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25E7D" w:rsidRDefault="00C25E7D" w:rsidP="00C25E7D">
            <w:pPr>
              <w:tabs>
                <w:tab w:val="left" w:pos="992"/>
              </w:tabs>
              <w:ind w:right="14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25E7D" w:rsidRDefault="00C25E7D" w:rsidP="00C25E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5E7D" w:rsidTr="00C25E7D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5E7D" w:rsidRDefault="00C25E7D" w:rsidP="00C25E7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25E7D" w:rsidRDefault="00C25E7D" w:rsidP="00C25E7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25E7D" w:rsidRDefault="00C25E7D" w:rsidP="00C25E7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25E7D" w:rsidRDefault="00C25E7D" w:rsidP="00C25E7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25E7D" w:rsidRDefault="00C25E7D" w:rsidP="00C25E7D">
            <w:pPr>
              <w:tabs>
                <w:tab w:val="left" w:pos="497"/>
                <w:tab w:val="left" w:pos="992"/>
              </w:tabs>
              <w:ind w:left="72" w:right="144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N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25E7D" w:rsidRDefault="00C25E7D" w:rsidP="00C25E7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C25E7D" w:rsidTr="00C25E7D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Solicitação Administrativa Indeferida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(6,8%)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(2,8%)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(8,0%)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25E7D" w:rsidRDefault="00C25E7D" w:rsidP="00C25E7D">
            <w:pPr>
              <w:tabs>
                <w:tab w:val="left" w:pos="992"/>
              </w:tabs>
              <w:spacing w:before="240" w:after="200"/>
              <w:ind w:right="14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(5,57%)</w:t>
            </w:r>
          </w:p>
        </w:tc>
      </w:tr>
      <w:tr w:rsidR="00C25E7D" w:rsidTr="00C25E7D">
        <w:trPr>
          <w:trHeight w:val="397"/>
        </w:trPr>
        <w:tc>
          <w:tcPr>
            <w:tcW w:w="2977" w:type="dxa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Solicitação Administrativa Não Respondida</w:t>
            </w:r>
          </w:p>
        </w:tc>
        <w:tc>
          <w:tcPr>
            <w:tcW w:w="1418" w:type="dxa"/>
            <w:shd w:val="clear" w:color="auto" w:fill="F2F2F2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(12,7%)</w:t>
            </w:r>
          </w:p>
        </w:tc>
        <w:tc>
          <w:tcPr>
            <w:tcW w:w="1417" w:type="dxa"/>
            <w:shd w:val="clear" w:color="auto" w:fill="F2F2F2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(17,7%)</w:t>
            </w:r>
          </w:p>
        </w:tc>
        <w:tc>
          <w:tcPr>
            <w:tcW w:w="1418" w:type="dxa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(11,0%)</w:t>
            </w:r>
          </w:p>
        </w:tc>
        <w:tc>
          <w:tcPr>
            <w:tcW w:w="1276" w:type="dxa"/>
            <w:shd w:val="clear" w:color="auto" w:fill="F2F2F2"/>
            <w:noWrap/>
            <w:vAlign w:val="center"/>
            <w:hideMark/>
          </w:tcPr>
          <w:p w:rsidR="00C25E7D" w:rsidRDefault="00C25E7D" w:rsidP="00C25E7D">
            <w:pPr>
              <w:tabs>
                <w:tab w:val="left" w:pos="992"/>
              </w:tabs>
              <w:spacing w:before="240" w:after="200"/>
              <w:ind w:right="14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41" w:type="dxa"/>
            <w:shd w:val="clear" w:color="auto" w:fill="F2F2F2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(14,2%)</w:t>
            </w:r>
          </w:p>
        </w:tc>
      </w:tr>
      <w:tr w:rsidR="00C25E7D" w:rsidTr="00C25E7D">
        <w:trPr>
          <w:trHeight w:val="397"/>
        </w:trPr>
        <w:tc>
          <w:tcPr>
            <w:tcW w:w="2977" w:type="dxa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Demanda Direta ao Judiciário</w:t>
            </w:r>
          </w:p>
        </w:tc>
        <w:tc>
          <w:tcPr>
            <w:tcW w:w="1418" w:type="dxa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(3,4%)</w:t>
            </w:r>
          </w:p>
        </w:tc>
        <w:tc>
          <w:tcPr>
            <w:tcW w:w="1417" w:type="dxa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(2,80%)</w:t>
            </w:r>
          </w:p>
        </w:tc>
        <w:tc>
          <w:tcPr>
            <w:tcW w:w="1418" w:type="dxa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vAlign w:val="center"/>
            <w:hideMark/>
          </w:tcPr>
          <w:p w:rsidR="00C25E7D" w:rsidRDefault="00C25E7D" w:rsidP="00C25E7D">
            <w:pPr>
              <w:tabs>
                <w:tab w:val="left" w:pos="992"/>
              </w:tabs>
              <w:spacing w:before="240" w:after="200"/>
              <w:ind w:right="14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841" w:type="dxa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(2,2%)</w:t>
            </w:r>
          </w:p>
        </w:tc>
      </w:tr>
      <w:tr w:rsidR="00C25E7D" w:rsidTr="00C25E7D">
        <w:trPr>
          <w:trHeight w:val="397"/>
        </w:trPr>
        <w:tc>
          <w:tcPr>
            <w:tcW w:w="2977" w:type="dxa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Falta do Medicamento</w:t>
            </w:r>
          </w:p>
        </w:tc>
        <w:tc>
          <w:tcPr>
            <w:tcW w:w="1418" w:type="dxa"/>
            <w:shd w:val="clear" w:color="auto" w:fill="D9D9D9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 (28,8%)</w:t>
            </w:r>
          </w:p>
        </w:tc>
        <w:tc>
          <w:tcPr>
            <w:tcW w:w="1417" w:type="dxa"/>
            <w:shd w:val="clear" w:color="auto" w:fill="D9D9D9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 (23,4%)</w:t>
            </w:r>
          </w:p>
        </w:tc>
        <w:tc>
          <w:tcPr>
            <w:tcW w:w="1418" w:type="dxa"/>
            <w:shd w:val="clear" w:color="auto" w:fill="F2F2F2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(20,0%)</w:t>
            </w:r>
          </w:p>
        </w:tc>
        <w:tc>
          <w:tcPr>
            <w:tcW w:w="1276" w:type="dxa"/>
            <w:shd w:val="clear" w:color="auto" w:fill="D9D9D9"/>
            <w:noWrap/>
            <w:vAlign w:val="center"/>
            <w:hideMark/>
          </w:tcPr>
          <w:p w:rsidR="00C25E7D" w:rsidRDefault="00C25E7D" w:rsidP="00C25E7D">
            <w:pPr>
              <w:tabs>
                <w:tab w:val="left" w:pos="992"/>
              </w:tabs>
              <w:spacing w:before="240" w:after="200"/>
              <w:ind w:right="14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41" w:type="dxa"/>
            <w:shd w:val="clear" w:color="auto" w:fill="D9D9D9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(24,2%)</w:t>
            </w:r>
          </w:p>
        </w:tc>
      </w:tr>
      <w:tr w:rsidR="00C25E7D" w:rsidTr="00C25E7D">
        <w:trPr>
          <w:trHeight w:val="529"/>
        </w:trPr>
        <w:tc>
          <w:tcPr>
            <w:tcW w:w="2977" w:type="dxa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Fornecimento Interrompido ou Intermitente</w:t>
            </w:r>
          </w:p>
        </w:tc>
        <w:tc>
          <w:tcPr>
            <w:tcW w:w="1418" w:type="dxa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(0,80%)</w:t>
            </w:r>
          </w:p>
        </w:tc>
        <w:tc>
          <w:tcPr>
            <w:tcW w:w="1417" w:type="dxa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(14,9%)</w:t>
            </w:r>
          </w:p>
        </w:tc>
        <w:tc>
          <w:tcPr>
            <w:tcW w:w="1418" w:type="dxa"/>
            <w:shd w:val="clear" w:color="auto" w:fill="D9D9D9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(26,0%)</w:t>
            </w:r>
          </w:p>
        </w:tc>
        <w:tc>
          <w:tcPr>
            <w:tcW w:w="1276" w:type="dxa"/>
            <w:noWrap/>
            <w:vAlign w:val="center"/>
            <w:hideMark/>
          </w:tcPr>
          <w:p w:rsidR="00C25E7D" w:rsidRDefault="00C25E7D" w:rsidP="00C25E7D">
            <w:pPr>
              <w:tabs>
                <w:tab w:val="left" w:pos="992"/>
              </w:tabs>
              <w:spacing w:before="240" w:after="200"/>
              <w:ind w:right="14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41" w:type="dxa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(13,4%)</w:t>
            </w:r>
          </w:p>
        </w:tc>
      </w:tr>
      <w:tr w:rsidR="00C25E7D" w:rsidTr="00C25E7D">
        <w:trPr>
          <w:trHeight w:val="397"/>
        </w:trPr>
        <w:tc>
          <w:tcPr>
            <w:tcW w:w="2977" w:type="dxa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ind w:right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Medicamento não Elencado em Listas Oficiais</w:t>
            </w:r>
          </w:p>
        </w:tc>
        <w:tc>
          <w:tcPr>
            <w:tcW w:w="1418" w:type="dxa"/>
            <w:shd w:val="clear" w:color="auto" w:fill="A6A6A6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 (45,8%)</w:t>
            </w:r>
          </w:p>
        </w:tc>
        <w:tc>
          <w:tcPr>
            <w:tcW w:w="1417" w:type="dxa"/>
            <w:shd w:val="clear" w:color="auto" w:fill="A6A6A6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 (34,8%)</w:t>
            </w:r>
          </w:p>
        </w:tc>
        <w:tc>
          <w:tcPr>
            <w:tcW w:w="1418" w:type="dxa"/>
            <w:shd w:val="clear" w:color="auto" w:fill="A6A6A6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 (30,0%)</w:t>
            </w:r>
          </w:p>
        </w:tc>
        <w:tc>
          <w:tcPr>
            <w:tcW w:w="1276" w:type="dxa"/>
            <w:shd w:val="clear" w:color="auto" w:fill="A6A6A6"/>
            <w:noWrap/>
            <w:vAlign w:val="center"/>
            <w:hideMark/>
          </w:tcPr>
          <w:p w:rsidR="00C25E7D" w:rsidRDefault="00C25E7D" w:rsidP="00C25E7D">
            <w:pPr>
              <w:tabs>
                <w:tab w:val="left" w:pos="992"/>
              </w:tabs>
              <w:spacing w:before="240" w:after="200"/>
              <w:ind w:right="144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41" w:type="dxa"/>
            <w:shd w:val="clear" w:color="auto" w:fill="A6A6A6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(37,0%)</w:t>
            </w:r>
          </w:p>
        </w:tc>
      </w:tr>
      <w:tr w:rsidR="00C25E7D" w:rsidTr="00C25E7D">
        <w:trPr>
          <w:trHeight w:val="397"/>
        </w:trPr>
        <w:tc>
          <w:tcPr>
            <w:tcW w:w="2977" w:type="dxa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ind w:right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Medicamento Não Registrado no Brasil</w:t>
            </w:r>
          </w:p>
        </w:tc>
        <w:tc>
          <w:tcPr>
            <w:tcW w:w="1418" w:type="dxa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(1,7%)</w:t>
            </w:r>
          </w:p>
        </w:tc>
        <w:tc>
          <w:tcPr>
            <w:tcW w:w="1417" w:type="dxa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(3,5%)</w:t>
            </w:r>
          </w:p>
        </w:tc>
        <w:tc>
          <w:tcPr>
            <w:tcW w:w="1418" w:type="dxa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(5,0%)</w:t>
            </w:r>
          </w:p>
        </w:tc>
        <w:tc>
          <w:tcPr>
            <w:tcW w:w="1276" w:type="dxa"/>
            <w:noWrap/>
            <w:vAlign w:val="center"/>
            <w:hideMark/>
          </w:tcPr>
          <w:p w:rsidR="00C25E7D" w:rsidRDefault="00C25E7D" w:rsidP="00C25E7D">
            <w:pPr>
              <w:tabs>
                <w:tab w:val="left" w:pos="992"/>
              </w:tabs>
              <w:spacing w:before="240" w:after="200"/>
              <w:ind w:right="14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1" w:type="dxa"/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(3,3%)</w:t>
            </w:r>
          </w:p>
        </w:tc>
      </w:tr>
      <w:tr w:rsidR="00C25E7D" w:rsidTr="00C25E7D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5E7D" w:rsidRDefault="00C25E7D" w:rsidP="00C25E7D">
            <w:pPr>
              <w:tabs>
                <w:tab w:val="left" w:pos="3119"/>
              </w:tabs>
              <w:spacing w:before="240" w:after="200"/>
              <w:ind w:right="7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DE ACÓRDÃOS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118 (100%)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141 (100%)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100 (100%)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5E7D" w:rsidRDefault="00C25E7D" w:rsidP="00C25E7D">
            <w:pPr>
              <w:tabs>
                <w:tab w:val="left" w:pos="992"/>
              </w:tabs>
              <w:spacing w:before="240" w:after="200"/>
              <w:ind w:right="144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359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5E7D" w:rsidRDefault="00C25E7D" w:rsidP="00C25E7D">
            <w:pPr>
              <w:spacing w:before="240" w:after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(100%)</w:t>
            </w:r>
          </w:p>
        </w:tc>
      </w:tr>
      <w:tr w:rsidR="00C25E7D" w:rsidTr="00C25E7D">
        <w:trPr>
          <w:trHeight w:val="397"/>
        </w:trPr>
        <w:tc>
          <w:tcPr>
            <w:tcW w:w="93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25E7D" w:rsidRDefault="00C25E7D" w:rsidP="00C25E7D">
            <w:pPr>
              <w:spacing w:after="200"/>
              <w:rPr>
                <w:rFonts w:ascii="Arial" w:eastAsia="Arial" w:hAnsi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iCs/>
                <w:color w:val="7F7F7F"/>
                <w:sz w:val="20"/>
                <w:szCs w:val="20"/>
                <w:lang w:eastAsia="en-US"/>
              </w:rPr>
              <w:t>Fonte:</w:t>
            </w:r>
            <w:r>
              <w:rPr>
                <w:rFonts w:ascii="Arial" w:eastAsia="Arial" w:hAnsi="Arial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Arial" w:hAnsi="Arial"/>
                <w:sz w:val="20"/>
                <w:szCs w:val="20"/>
                <w:lang w:eastAsia="en-US"/>
              </w:rPr>
              <w:t>Acórdãos coletados no site do TJDFT, 2010-2012.</w:t>
            </w:r>
          </w:p>
        </w:tc>
      </w:tr>
    </w:tbl>
    <w:p w:rsidR="006B0361" w:rsidRPr="00217FCF" w:rsidRDefault="00C25E7D" w:rsidP="00C25E7D"/>
    <w:sectPr w:rsidR="006B0361" w:rsidRPr="00217FCF" w:rsidSect="00217FCF">
      <w:pgSz w:w="11906" w:h="16838"/>
      <w:pgMar w:top="1440" w:right="1083" w:bottom="1440" w:left="108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CF"/>
    <w:rsid w:val="00217FCF"/>
    <w:rsid w:val="00AC6566"/>
    <w:rsid w:val="00C25E7D"/>
    <w:rsid w:val="00FC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2015-07-20T18:46:00Z</dcterms:created>
  <dcterms:modified xsi:type="dcterms:W3CDTF">2015-07-20T18:46:00Z</dcterms:modified>
</cp:coreProperties>
</file>